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7FEF" w:rsidRDefault="00494B9D">
      <w:pPr>
        <w:jc w:val="right"/>
        <w:rPr>
          <w:rFonts w:ascii="Times New Roman" w:eastAsia="Arial" w:hAnsi="Times New Roman"/>
          <w:b/>
          <w:color w:val="FF0000"/>
          <w:sz w:val="28"/>
          <w:szCs w:val="28"/>
          <w:lang w:val="ru-RU"/>
        </w:rPr>
      </w:pPr>
      <w:r>
        <w:rPr>
          <w:rFonts w:ascii="Times New Roman" w:eastAsia="Arial" w:hAnsi="Times New Roman"/>
          <w:b/>
          <w:color w:val="FF0000"/>
          <w:sz w:val="28"/>
          <w:szCs w:val="28"/>
          <w:lang w:val="ru-RU"/>
        </w:rPr>
        <w:t>ПРОЄКТ</w:t>
      </w:r>
    </w:p>
    <w:p w:rsidR="00227FEF" w:rsidRDefault="00227FEF">
      <w:pPr>
        <w:jc w:val="center"/>
        <w:rPr>
          <w:rFonts w:ascii="Times New Roman" w:eastAsia="Arial" w:hAnsi="Times New Roman"/>
          <w:b/>
          <w:color w:val="FF0000"/>
          <w:sz w:val="28"/>
          <w:szCs w:val="28"/>
          <w:lang w:val="ru-RU"/>
        </w:rPr>
      </w:pPr>
    </w:p>
    <w:p w:rsidR="00227FEF" w:rsidRDefault="00494B9D">
      <w:pPr>
        <w:jc w:val="center"/>
        <w:rPr>
          <w:rFonts w:ascii="Times New Roman" w:eastAsia="Arial" w:hAnsi="Times New Roman"/>
          <w:sz w:val="28"/>
          <w:szCs w:val="28"/>
          <w:lang w:val="ru-RU"/>
        </w:rPr>
      </w:pPr>
      <w:r>
        <w:rPr>
          <w:rFonts w:ascii="Times New Roman" w:eastAsia="Arial" w:hAnsi="Times New Roman"/>
          <w:sz w:val="28"/>
          <w:szCs w:val="28"/>
          <w:lang w:val="ru-RU"/>
        </w:rPr>
        <w:t>ХАРАКТЕРИСТИКА НАСЕЛЕННЯ ТА ТРУДОВИХ РЕСУРСІВ ТУР’Є-РЕМЕТІВСЬКОЇ ТЕРИТОРІАЛЬНОЇ ГРОМАДИ</w:t>
      </w:r>
    </w:p>
    <w:p w:rsidR="00227FEF" w:rsidRDefault="00494B9D">
      <w:pPr>
        <w:pStyle w:val="2"/>
        <w:spacing w:before="120" w:after="120" w:line="276" w:lineRule="auto"/>
        <w:ind w:firstLine="708"/>
        <w:rPr>
          <w:rFonts w:ascii="Times New Roman" w:hAnsi="Times New Roman" w:cs="Times New Roman"/>
          <w:color w:val="000000"/>
        </w:rPr>
      </w:pPr>
      <w:r>
        <w:rPr>
          <w:rFonts w:ascii="Times New Roman" w:hAnsi="Times New Roman" w:cs="Times New Roman"/>
          <w:color w:val="000000"/>
        </w:rPr>
        <w:t>1. Загальна характеристика населення громади</w:t>
      </w:r>
    </w:p>
    <w:p w:rsidR="00227FEF" w:rsidRPr="005E48D4" w:rsidRDefault="00494B9D">
      <w:pPr>
        <w:spacing w:before="120" w:after="120" w:line="276" w:lineRule="auto"/>
        <w:ind w:firstLine="708"/>
        <w:jc w:val="both"/>
        <w:rPr>
          <w:rFonts w:ascii="Times New Roman" w:hAnsi="Times New Roman"/>
          <w:sz w:val="28"/>
          <w:szCs w:val="28"/>
          <w:lang w:val="uk-UA"/>
        </w:rPr>
      </w:pPr>
      <w:r w:rsidRPr="005E48D4">
        <w:rPr>
          <w:rFonts w:ascii="Times New Roman" w:eastAsia="Arial" w:hAnsi="Times New Roman"/>
          <w:sz w:val="28"/>
          <w:szCs w:val="28"/>
          <w:lang w:val="uk-UA"/>
        </w:rPr>
        <w:t>Тур’є-Реметівська територіальна громада — сільська громада, розташована на північному заході Ужгородського району Закарпатської області, у мальовничій гірській місцевості на південно-західних схилах Українських Карпат. Адміністративним центром громади є село Тур’ї Ремети. Громада утворена 12 червня 2020 року в ході реформи децентралізації, шляхом об’єднання восьми сільських рад: Тур’є-Реметівської, Вільшинківської, Порошківської, Тур’є-Бистрянської, Тур’є-Пасічанської, Тур’є-Полянської, Турицької та Туричківської.</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Територія громади становить 437,3 км², що робить її однією з найбільших за площею громад Закарпатської області. Значна частина території зайнята гірськими масивами Полонини Руної та її відрогів, вкритих хвойними та змішаними лісами. Населені пункти переважно розташовані вздовж долини річки Тур’ї та її приток. Рельєф зумовлює обмежену транспортну доступність ряду сіл та формує специфіку господарської діяльності населення.</w:t>
      </w:r>
    </w:p>
    <w:p w:rsidR="00227FEF" w:rsidRDefault="00494B9D">
      <w:pPr>
        <w:spacing w:before="120" w:after="120" w:line="276" w:lineRule="auto"/>
        <w:ind w:firstLine="708"/>
        <w:jc w:val="both"/>
        <w:rPr>
          <w:rFonts w:ascii="Times New Roman" w:hAnsi="Times New Roman"/>
          <w:sz w:val="28"/>
          <w:szCs w:val="28"/>
          <w:lang w:val="ru-RU"/>
        </w:rPr>
      </w:pPr>
      <w:proofErr w:type="gramStart"/>
      <w:r>
        <w:rPr>
          <w:rFonts w:ascii="Times New Roman" w:eastAsia="Arial" w:hAnsi="Times New Roman"/>
          <w:sz w:val="28"/>
          <w:szCs w:val="28"/>
          <w:lang w:val="ru-RU"/>
        </w:rPr>
        <w:t>До складу</w:t>
      </w:r>
      <w:proofErr w:type="gramEnd"/>
      <w:r>
        <w:rPr>
          <w:rFonts w:ascii="Times New Roman" w:eastAsia="Arial" w:hAnsi="Times New Roman"/>
          <w:sz w:val="28"/>
          <w:szCs w:val="28"/>
          <w:lang w:val="ru-RU"/>
        </w:rPr>
        <w:t xml:space="preserve"> громади входять 17 населених пунктів, 7 із яких надано статус гірських. За даними 2022 року, чисельність населення громади становить 16 107 осіб. Щільність населення — приблизно 36,8 осіб на км², що значно нижче середнього показника по Закарпатській області (близько 100 осіб/км²) та середньоукраїнського рівня (75 осіб/км²). Це свідчить про гірський характер території громади з переважанням лісових масивів і обмеженими площами, придатними для компактного проживання.</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Усе населення громади є сільським (100 %), що визначає специфіку зайнятості, інфраструктурного забезпечення та соціально-економічного розвитку території. Закарпатська область загалом вирізняється високою часткою сільського населення (близько 63 % — найвищий показник серед регіонів України), а для гірських громад ця частка сягає абсолютного рівня.</w:t>
      </w:r>
    </w:p>
    <w:p w:rsidR="00227FEF" w:rsidRDefault="00494B9D">
      <w:pPr>
        <w:spacing w:before="240" w:after="120"/>
        <w:jc w:val="center"/>
        <w:rPr>
          <w:rFonts w:ascii="Times New Roman" w:hAnsi="Times New Roman"/>
          <w:sz w:val="28"/>
          <w:szCs w:val="28"/>
          <w:lang w:val="ru-RU"/>
        </w:rPr>
      </w:pPr>
      <w:r>
        <w:rPr>
          <w:rFonts w:ascii="Times New Roman" w:eastAsia="Arial" w:hAnsi="Times New Roman"/>
          <w:b/>
          <w:bCs/>
          <w:sz w:val="28"/>
          <w:szCs w:val="28"/>
          <w:lang w:val="ru-RU"/>
        </w:rPr>
        <w:t>Таблиця 1.</w:t>
      </w:r>
      <w:r>
        <w:rPr>
          <w:rFonts w:ascii="Times New Roman" w:eastAsia="Arial" w:hAnsi="Times New Roman"/>
          <w:sz w:val="28"/>
          <w:szCs w:val="28"/>
          <w:lang w:val="ru-RU"/>
        </w:rPr>
        <w:t xml:space="preserve"> Загальні відомості про Тур’є-Реметівську територіальну громаду</w:t>
      </w:r>
    </w:p>
    <w:tbl>
      <w:tblPr>
        <w:tblW w:w="9360" w:type="dxa"/>
        <w:tblLayout w:type="fixed"/>
        <w:tblCellMar>
          <w:top w:w="60" w:type="dxa"/>
          <w:left w:w="100" w:type="dxa"/>
          <w:bottom w:w="60" w:type="dxa"/>
          <w:right w:w="100" w:type="dxa"/>
        </w:tblCellMar>
        <w:tblLook w:val="0000" w:firstRow="0" w:lastRow="0" w:firstColumn="0" w:lastColumn="0" w:noHBand="0" w:noVBand="0"/>
      </w:tblPr>
      <w:tblGrid>
        <w:gridCol w:w="4500"/>
        <w:gridCol w:w="4860"/>
      </w:tblGrid>
      <w:tr w:rsidR="00227FEF">
        <w:tc>
          <w:tcPr>
            <w:tcW w:w="45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t>Показник</w:t>
            </w:r>
          </w:p>
        </w:tc>
        <w:tc>
          <w:tcPr>
            <w:tcW w:w="48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t>Значення</w:t>
            </w:r>
          </w:p>
        </w:tc>
      </w:tr>
      <w:tr w:rsidR="00227FEF">
        <w:tc>
          <w:tcPr>
            <w:tcW w:w="45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Тип громади</w:t>
            </w:r>
          </w:p>
        </w:tc>
        <w:tc>
          <w:tcPr>
            <w:tcW w:w="486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сільська</w:t>
            </w:r>
          </w:p>
        </w:tc>
      </w:tr>
      <w:tr w:rsidR="00227FEF">
        <w:tc>
          <w:tcPr>
            <w:tcW w:w="45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Адміністративний центр</w:t>
            </w:r>
          </w:p>
        </w:tc>
        <w:tc>
          <w:tcPr>
            <w:tcW w:w="486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с. Тур’ї Ремети</w:t>
            </w:r>
          </w:p>
        </w:tc>
      </w:tr>
      <w:tr w:rsidR="00227FEF">
        <w:tc>
          <w:tcPr>
            <w:tcW w:w="45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lastRenderedPageBreak/>
              <w:t>Район</w:t>
            </w:r>
          </w:p>
        </w:tc>
        <w:tc>
          <w:tcPr>
            <w:tcW w:w="486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Ужгородський</w:t>
            </w:r>
          </w:p>
        </w:tc>
      </w:tr>
      <w:tr w:rsidR="00227FEF">
        <w:tc>
          <w:tcPr>
            <w:tcW w:w="45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Область</w:t>
            </w:r>
          </w:p>
        </w:tc>
        <w:tc>
          <w:tcPr>
            <w:tcW w:w="486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Закарпатська</w:t>
            </w:r>
          </w:p>
        </w:tc>
      </w:tr>
      <w:tr w:rsidR="00227FEF">
        <w:tc>
          <w:tcPr>
            <w:tcW w:w="45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Площа території</w:t>
            </w:r>
          </w:p>
        </w:tc>
        <w:tc>
          <w:tcPr>
            <w:tcW w:w="486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437,3 км²</w:t>
            </w:r>
          </w:p>
        </w:tc>
      </w:tr>
      <w:tr w:rsidR="00227FEF">
        <w:tc>
          <w:tcPr>
            <w:tcW w:w="45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Кількість населених пунктів</w:t>
            </w:r>
          </w:p>
        </w:tc>
        <w:tc>
          <w:tcPr>
            <w:tcW w:w="486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17</w:t>
            </w:r>
          </w:p>
        </w:tc>
      </w:tr>
      <w:tr w:rsidR="00227FEF">
        <w:tc>
          <w:tcPr>
            <w:tcW w:w="45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Чисельність населення (2022)</w:t>
            </w:r>
          </w:p>
        </w:tc>
        <w:tc>
          <w:tcPr>
            <w:tcW w:w="486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16 107 осіб</w:t>
            </w:r>
          </w:p>
        </w:tc>
      </w:tr>
      <w:tr w:rsidR="00227FEF">
        <w:tc>
          <w:tcPr>
            <w:tcW w:w="45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Щільність населення</w:t>
            </w:r>
          </w:p>
        </w:tc>
        <w:tc>
          <w:tcPr>
            <w:tcW w:w="486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36,8 осіб/км²</w:t>
            </w:r>
          </w:p>
        </w:tc>
      </w:tr>
      <w:tr w:rsidR="00227FEF">
        <w:tc>
          <w:tcPr>
            <w:tcW w:w="45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Частка сільського населення</w:t>
            </w:r>
          </w:p>
        </w:tc>
        <w:tc>
          <w:tcPr>
            <w:tcW w:w="486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100 %</w:t>
            </w:r>
          </w:p>
        </w:tc>
      </w:tr>
      <w:tr w:rsidR="00227FEF">
        <w:tc>
          <w:tcPr>
            <w:tcW w:w="45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Доходи заг. фонду на 1 мешканця (2021)</w:t>
            </w:r>
          </w:p>
        </w:tc>
        <w:tc>
          <w:tcPr>
            <w:tcW w:w="486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386,6 грн</w:t>
            </w:r>
          </w:p>
        </w:tc>
      </w:tr>
      <w:tr w:rsidR="00227FEF">
        <w:tc>
          <w:tcPr>
            <w:tcW w:w="45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Видатки заг. фонду на 1 мешканця (2021)</w:t>
            </w:r>
          </w:p>
        </w:tc>
        <w:tc>
          <w:tcPr>
            <w:tcW w:w="486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1 616,6 грн</w:t>
            </w:r>
          </w:p>
        </w:tc>
      </w:tr>
      <w:tr w:rsidR="00227FEF">
        <w:tc>
          <w:tcPr>
            <w:tcW w:w="45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Кількість зареєстрованих юросіб</w:t>
            </w:r>
          </w:p>
        </w:tc>
        <w:tc>
          <w:tcPr>
            <w:tcW w:w="486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217</w:t>
            </w:r>
          </w:p>
        </w:tc>
      </w:tr>
    </w:tbl>
    <w:p w:rsidR="00227FEF" w:rsidRDefault="00494B9D">
      <w:pPr>
        <w:pStyle w:val="2"/>
        <w:spacing w:before="120" w:after="120" w:line="276" w:lineRule="auto"/>
        <w:ind w:firstLine="708"/>
        <w:rPr>
          <w:rFonts w:ascii="Times New Roman" w:hAnsi="Times New Roman" w:cs="Times New Roman"/>
          <w:color w:val="000000"/>
        </w:rPr>
      </w:pPr>
      <w:r>
        <w:rPr>
          <w:rFonts w:ascii="Times New Roman" w:hAnsi="Times New Roman" w:cs="Times New Roman"/>
          <w:color w:val="000000"/>
        </w:rPr>
        <w:t>2. Населені пункти та розселення населення</w:t>
      </w:r>
    </w:p>
    <w:p w:rsidR="00227FEF" w:rsidRDefault="00494B9D">
      <w:pPr>
        <w:pStyle w:val="3"/>
        <w:spacing w:before="120" w:line="276" w:lineRule="auto"/>
        <w:ind w:firstLine="708"/>
        <w:rPr>
          <w:rFonts w:ascii="Times New Roman" w:hAnsi="Times New Roman" w:cs="Times New Roman"/>
          <w:color w:val="000000"/>
          <w:sz w:val="28"/>
          <w:szCs w:val="28"/>
        </w:rPr>
      </w:pPr>
      <w:r>
        <w:rPr>
          <w:rFonts w:ascii="Times New Roman" w:hAnsi="Times New Roman" w:cs="Times New Roman"/>
          <w:color w:val="000000"/>
          <w:sz w:val="28"/>
          <w:szCs w:val="28"/>
        </w:rPr>
        <w:t>2.1. Структура розселення</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Розселення населення по території громади є вкрай нерівномірним, що зумовлено гірським рельєфом. Населені пункти утворюють лінійну систему розселення, витягнуту вздовж долини річки Тур’ї та її приток. Найбільшими за чисельністю мешканців є села Порошково (3 821 особа, 23,7 %), Тур’ї Ремети (3 340 осіб, 20,7 %) та Тур’я Пасіка (2 850 осіб, 17,7 %). Разом у трьох найбільших селах проживає понад 62 % населення громади.</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До групи середніх за чисельністю сіл (понад 1 000 мешканців) також належать Тур’я Поляна (1 455 осіб), Тур’я-Бистра (1 453 особи) та Туриця (1 098 осіб). Ці шість населених пунктів зосереджують понад 87 % населення громади, тоді як решта 11 сіл є переважно малими поселеннями з обмеженою інфраструктурою.</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 xml:space="preserve">Водночас значна частина населених пунктів є малими за чисельністю: у 6 із 17 сіл мешкає менше 300 осіб. Найменшими населеними пунктами є Лікіцари (54 особи), Лумшори (84 особи) та Липовець (131 особа). Ці села розташовані у гірській місцевості, мають обмежену транспортну доступність (особливо </w:t>
      </w:r>
      <w:proofErr w:type="gramStart"/>
      <w:r>
        <w:rPr>
          <w:rFonts w:ascii="Times New Roman" w:eastAsia="Arial" w:hAnsi="Times New Roman"/>
          <w:sz w:val="28"/>
          <w:szCs w:val="28"/>
          <w:lang w:val="ru-RU"/>
        </w:rPr>
        <w:t>в зимовий</w:t>
      </w:r>
      <w:proofErr w:type="gramEnd"/>
      <w:r>
        <w:rPr>
          <w:rFonts w:ascii="Times New Roman" w:eastAsia="Arial" w:hAnsi="Times New Roman"/>
          <w:sz w:val="28"/>
          <w:szCs w:val="28"/>
          <w:lang w:val="ru-RU"/>
        </w:rPr>
        <w:t xml:space="preserve"> період) та існує ризик подальшого обезлюднення. Забезпечення мешканців базовими послугами (освіта, медицина, торгівля) потребує додаткових зусиль з боку місцевої влади.</w:t>
      </w:r>
    </w:p>
    <w:p w:rsidR="00227FEF" w:rsidRDefault="00494B9D">
      <w:pPr>
        <w:spacing w:before="240" w:after="120"/>
        <w:jc w:val="center"/>
        <w:rPr>
          <w:rFonts w:ascii="Times New Roman" w:hAnsi="Times New Roman"/>
          <w:sz w:val="28"/>
          <w:szCs w:val="28"/>
          <w:lang w:val="ru-RU"/>
        </w:rPr>
      </w:pPr>
      <w:r>
        <w:rPr>
          <w:rFonts w:ascii="Times New Roman" w:eastAsia="Arial" w:hAnsi="Times New Roman"/>
          <w:b/>
          <w:bCs/>
          <w:sz w:val="28"/>
          <w:szCs w:val="28"/>
          <w:lang w:val="ru-RU"/>
        </w:rPr>
        <w:t>Таблиця 2.</w:t>
      </w:r>
      <w:r>
        <w:rPr>
          <w:rFonts w:ascii="Times New Roman" w:eastAsia="Arial" w:hAnsi="Times New Roman"/>
          <w:sz w:val="28"/>
          <w:szCs w:val="28"/>
          <w:lang w:val="ru-RU"/>
        </w:rPr>
        <w:t xml:space="preserve"> Населені пункти Тур’є-Реметівської громади та чисельність населення</w:t>
      </w:r>
    </w:p>
    <w:tbl>
      <w:tblPr>
        <w:tblW w:w="9360" w:type="dxa"/>
        <w:tblLayout w:type="fixed"/>
        <w:tblCellMar>
          <w:top w:w="60" w:type="dxa"/>
          <w:left w:w="100" w:type="dxa"/>
          <w:bottom w:w="60" w:type="dxa"/>
          <w:right w:w="100" w:type="dxa"/>
        </w:tblCellMar>
        <w:tblLook w:val="0000" w:firstRow="0" w:lastRow="0" w:firstColumn="0" w:lastColumn="0" w:noHBand="0" w:noVBand="0"/>
      </w:tblPr>
      <w:tblGrid>
        <w:gridCol w:w="600"/>
        <w:gridCol w:w="4200"/>
        <w:gridCol w:w="2280"/>
        <w:gridCol w:w="2280"/>
      </w:tblGrid>
      <w:tr w:rsidR="00227FEF">
        <w:tc>
          <w:tcPr>
            <w:tcW w:w="6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lastRenderedPageBreak/>
              <w:t>№</w:t>
            </w:r>
          </w:p>
        </w:tc>
        <w:tc>
          <w:tcPr>
            <w:tcW w:w="4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t>Населений пункт</w:t>
            </w:r>
          </w:p>
        </w:tc>
        <w:tc>
          <w:tcPr>
            <w:tcW w:w="2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t>Населення, осіб</w:t>
            </w:r>
          </w:p>
        </w:tc>
        <w:tc>
          <w:tcPr>
            <w:tcW w:w="22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t>Частка, %</w:t>
            </w:r>
          </w:p>
        </w:tc>
      </w:tr>
      <w:tr w:rsidR="00227FEF">
        <w:tc>
          <w:tcPr>
            <w:tcW w:w="6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1</w:t>
            </w:r>
          </w:p>
        </w:tc>
        <w:tc>
          <w:tcPr>
            <w:tcW w:w="42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Тур’ї Ремети (адм. центр)</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3 340</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20,7</w:t>
            </w:r>
          </w:p>
        </w:tc>
      </w:tr>
      <w:tr w:rsidR="00227FEF">
        <w:tc>
          <w:tcPr>
            <w:tcW w:w="6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2</w:t>
            </w:r>
          </w:p>
        </w:tc>
        <w:tc>
          <w:tcPr>
            <w:tcW w:w="42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Порошково</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3 821</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23,7</w:t>
            </w:r>
          </w:p>
        </w:tc>
      </w:tr>
      <w:tr w:rsidR="00227FEF">
        <w:tc>
          <w:tcPr>
            <w:tcW w:w="6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3</w:t>
            </w:r>
          </w:p>
        </w:tc>
        <w:tc>
          <w:tcPr>
            <w:tcW w:w="42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Тур’я Пасіка</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2 850</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17,7</w:t>
            </w:r>
          </w:p>
        </w:tc>
      </w:tr>
      <w:tr w:rsidR="00227FEF">
        <w:tc>
          <w:tcPr>
            <w:tcW w:w="6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4</w:t>
            </w:r>
          </w:p>
        </w:tc>
        <w:tc>
          <w:tcPr>
            <w:tcW w:w="42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Тур’я Поляна</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1 455</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9,0</w:t>
            </w:r>
          </w:p>
        </w:tc>
      </w:tr>
      <w:tr w:rsidR="00227FEF">
        <w:tc>
          <w:tcPr>
            <w:tcW w:w="6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5</w:t>
            </w:r>
          </w:p>
        </w:tc>
        <w:tc>
          <w:tcPr>
            <w:tcW w:w="42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Тур’я-Бистра</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1 453</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9,0</w:t>
            </w:r>
          </w:p>
        </w:tc>
      </w:tr>
      <w:tr w:rsidR="00227FEF">
        <w:tc>
          <w:tcPr>
            <w:tcW w:w="6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6</w:t>
            </w:r>
          </w:p>
        </w:tc>
        <w:tc>
          <w:tcPr>
            <w:tcW w:w="42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Туриця</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1 098</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6,8</w:t>
            </w:r>
          </w:p>
        </w:tc>
      </w:tr>
      <w:tr w:rsidR="00227FEF">
        <w:tc>
          <w:tcPr>
            <w:tcW w:w="6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7</w:t>
            </w:r>
          </w:p>
        </w:tc>
        <w:tc>
          <w:tcPr>
            <w:tcW w:w="42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Раково</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784</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4,9</w:t>
            </w:r>
          </w:p>
        </w:tc>
      </w:tr>
      <w:tr w:rsidR="00227FEF">
        <w:tc>
          <w:tcPr>
            <w:tcW w:w="6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8</w:t>
            </w:r>
          </w:p>
        </w:tc>
        <w:tc>
          <w:tcPr>
            <w:tcW w:w="42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Вільшинки</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561</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3,5</w:t>
            </w:r>
          </w:p>
        </w:tc>
      </w:tr>
      <w:tr w:rsidR="00227FEF">
        <w:tc>
          <w:tcPr>
            <w:tcW w:w="6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9</w:t>
            </w:r>
          </w:p>
        </w:tc>
        <w:tc>
          <w:tcPr>
            <w:tcW w:w="42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Полянська Гута</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465</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2,9</w:t>
            </w:r>
          </w:p>
        </w:tc>
      </w:tr>
      <w:tr w:rsidR="00227FEF">
        <w:tc>
          <w:tcPr>
            <w:tcW w:w="6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10</w:t>
            </w:r>
          </w:p>
        </w:tc>
        <w:tc>
          <w:tcPr>
            <w:tcW w:w="42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Мокра</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353</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2,2</w:t>
            </w:r>
          </w:p>
        </w:tc>
      </w:tr>
      <w:tr w:rsidR="00227FEF">
        <w:tc>
          <w:tcPr>
            <w:tcW w:w="6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11</w:t>
            </w:r>
          </w:p>
        </w:tc>
        <w:tc>
          <w:tcPr>
            <w:tcW w:w="42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Завбуч</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307</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1,9</w:t>
            </w:r>
          </w:p>
        </w:tc>
      </w:tr>
      <w:tr w:rsidR="00227FEF">
        <w:tc>
          <w:tcPr>
            <w:tcW w:w="6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12</w:t>
            </w:r>
          </w:p>
        </w:tc>
        <w:tc>
          <w:tcPr>
            <w:tcW w:w="42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Турички</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220</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1,4</w:t>
            </w:r>
          </w:p>
        </w:tc>
      </w:tr>
      <w:tr w:rsidR="00227FEF">
        <w:tc>
          <w:tcPr>
            <w:tcW w:w="6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13</w:t>
            </w:r>
          </w:p>
        </w:tc>
        <w:tc>
          <w:tcPr>
            <w:tcW w:w="42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Маюрки</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181</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1,1</w:t>
            </w:r>
          </w:p>
        </w:tc>
      </w:tr>
      <w:tr w:rsidR="00227FEF">
        <w:tc>
          <w:tcPr>
            <w:tcW w:w="6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14</w:t>
            </w:r>
          </w:p>
        </w:tc>
        <w:tc>
          <w:tcPr>
            <w:tcW w:w="42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Свалявка</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162</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1,0</w:t>
            </w:r>
          </w:p>
        </w:tc>
      </w:tr>
      <w:tr w:rsidR="00227FEF">
        <w:tc>
          <w:tcPr>
            <w:tcW w:w="6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15</w:t>
            </w:r>
          </w:p>
        </w:tc>
        <w:tc>
          <w:tcPr>
            <w:tcW w:w="42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Липовець</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131</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0,8</w:t>
            </w:r>
          </w:p>
        </w:tc>
      </w:tr>
      <w:tr w:rsidR="00227FEF">
        <w:tc>
          <w:tcPr>
            <w:tcW w:w="6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16</w:t>
            </w:r>
          </w:p>
        </w:tc>
        <w:tc>
          <w:tcPr>
            <w:tcW w:w="42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Лумшори</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84</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0,5</w:t>
            </w:r>
          </w:p>
        </w:tc>
      </w:tr>
      <w:tr w:rsidR="00227FEF">
        <w:tc>
          <w:tcPr>
            <w:tcW w:w="6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17</w:t>
            </w:r>
          </w:p>
        </w:tc>
        <w:tc>
          <w:tcPr>
            <w:tcW w:w="42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Лікіцари</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54</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0,3</w:t>
            </w:r>
          </w:p>
        </w:tc>
      </w:tr>
      <w:tr w:rsidR="00227FEF">
        <w:tc>
          <w:tcPr>
            <w:tcW w:w="6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227FEF">
            <w:pPr>
              <w:snapToGrid w:val="0"/>
              <w:jc w:val="center"/>
              <w:rPr>
                <w:rFonts w:ascii="Times New Roman" w:hAnsi="Times New Roman"/>
                <w:color w:val="000000"/>
                <w:sz w:val="28"/>
                <w:szCs w:val="28"/>
              </w:rPr>
            </w:pPr>
          </w:p>
        </w:tc>
        <w:tc>
          <w:tcPr>
            <w:tcW w:w="42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Разом</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t>16 107*</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t>100,0</w:t>
            </w:r>
          </w:p>
        </w:tc>
      </w:tr>
    </w:tbl>
    <w:p w:rsidR="00227FEF" w:rsidRDefault="00494B9D">
      <w:pPr>
        <w:spacing w:before="60" w:after="200"/>
        <w:jc w:val="both"/>
        <w:rPr>
          <w:rFonts w:ascii="Times New Roman" w:hAnsi="Times New Roman"/>
          <w:sz w:val="28"/>
          <w:szCs w:val="28"/>
        </w:rPr>
      </w:pPr>
      <w:r>
        <w:rPr>
          <w:rFonts w:ascii="Times New Roman" w:eastAsia="Arial" w:hAnsi="Times New Roman"/>
          <w:sz w:val="28"/>
          <w:szCs w:val="28"/>
        </w:rPr>
        <w:t>* Примітка: дані наведено відповідно до інформації органів місцевого самоврядування та порталу decentralization.gov.ua. Сумарна чисельність населення по населених пунктах може відрізнятися від загального показника через різні джерела обліку.</w:t>
      </w:r>
    </w:p>
    <w:p w:rsidR="00227FEF" w:rsidRDefault="00494B9D">
      <w:pPr>
        <w:pStyle w:val="3"/>
        <w:spacing w:before="120" w:line="276" w:lineRule="auto"/>
        <w:ind w:firstLine="708"/>
        <w:rPr>
          <w:rFonts w:ascii="Times New Roman" w:hAnsi="Times New Roman" w:cs="Times New Roman"/>
          <w:color w:val="000000"/>
          <w:sz w:val="28"/>
          <w:szCs w:val="28"/>
        </w:rPr>
      </w:pPr>
      <w:r>
        <w:rPr>
          <w:rFonts w:ascii="Times New Roman" w:hAnsi="Times New Roman" w:cs="Times New Roman"/>
          <w:color w:val="000000"/>
          <w:sz w:val="28"/>
          <w:szCs w:val="28"/>
        </w:rPr>
        <w:t>2.2. Класифікація населених пунктів</w:t>
      </w:r>
    </w:p>
    <w:p w:rsidR="00227FEF" w:rsidRDefault="00494B9D">
      <w:pPr>
        <w:spacing w:before="120" w:after="120" w:line="276" w:lineRule="auto"/>
        <w:jc w:val="both"/>
        <w:rPr>
          <w:rFonts w:ascii="Times New Roman" w:hAnsi="Times New Roman"/>
          <w:sz w:val="28"/>
          <w:szCs w:val="28"/>
          <w:lang w:val="ru-RU"/>
        </w:rPr>
      </w:pPr>
      <w:r w:rsidRPr="005E48D4">
        <w:rPr>
          <w:rFonts w:ascii="Times New Roman" w:eastAsia="Arial" w:hAnsi="Times New Roman"/>
          <w:sz w:val="28"/>
          <w:szCs w:val="28"/>
          <w:lang w:val="ru-RU"/>
        </w:rPr>
        <w:t xml:space="preserve">Для цілей стратегічного планування населені пункти громади можна класифікувати за кількома критеріями: чисельністю населення, географічним розташуванням та функціональним типом. </w:t>
      </w:r>
      <w:r>
        <w:rPr>
          <w:rFonts w:ascii="Times New Roman" w:eastAsia="Arial" w:hAnsi="Times New Roman"/>
          <w:sz w:val="28"/>
          <w:szCs w:val="28"/>
          <w:lang w:val="ru-RU"/>
        </w:rPr>
        <w:t>Така класифікація дозволяє диференціювати підходи до розвитку інфраструктури та надання послуг.</w:t>
      </w:r>
    </w:p>
    <w:p w:rsidR="00227FEF" w:rsidRDefault="00494B9D">
      <w:pPr>
        <w:spacing w:before="240" w:after="120"/>
        <w:jc w:val="center"/>
        <w:rPr>
          <w:rFonts w:ascii="Times New Roman" w:hAnsi="Times New Roman"/>
          <w:sz w:val="28"/>
          <w:szCs w:val="28"/>
        </w:rPr>
      </w:pPr>
      <w:r>
        <w:rPr>
          <w:rFonts w:ascii="Times New Roman" w:eastAsia="Arial" w:hAnsi="Times New Roman"/>
          <w:b/>
          <w:bCs/>
          <w:sz w:val="28"/>
          <w:szCs w:val="28"/>
        </w:rPr>
        <w:t>Таблиця 3.</w:t>
      </w:r>
      <w:r>
        <w:rPr>
          <w:rFonts w:ascii="Times New Roman" w:eastAsia="Arial" w:hAnsi="Times New Roman"/>
          <w:sz w:val="28"/>
          <w:szCs w:val="28"/>
        </w:rPr>
        <w:t xml:space="preserve"> Класифікація населених пунктів громади</w:t>
      </w:r>
    </w:p>
    <w:tbl>
      <w:tblPr>
        <w:tblW w:w="9360" w:type="dxa"/>
        <w:tblLayout w:type="fixed"/>
        <w:tblCellMar>
          <w:top w:w="60" w:type="dxa"/>
          <w:left w:w="100" w:type="dxa"/>
          <w:bottom w:w="60" w:type="dxa"/>
          <w:right w:w="100" w:type="dxa"/>
        </w:tblCellMar>
        <w:tblLook w:val="0000" w:firstRow="0" w:lastRow="0" w:firstColumn="0" w:lastColumn="0" w:noHBand="0" w:noVBand="0"/>
      </w:tblPr>
      <w:tblGrid>
        <w:gridCol w:w="3000"/>
        <w:gridCol w:w="3180"/>
        <w:gridCol w:w="3180"/>
      </w:tblGrid>
      <w:tr w:rsidR="00227FEF">
        <w:tc>
          <w:tcPr>
            <w:tcW w:w="30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t>Критерій</w:t>
            </w:r>
          </w:p>
        </w:tc>
        <w:tc>
          <w:tcPr>
            <w:tcW w:w="31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t>Група</w:t>
            </w:r>
          </w:p>
        </w:tc>
        <w:tc>
          <w:tcPr>
            <w:tcW w:w="31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t>Населені пункти / показник</w:t>
            </w:r>
          </w:p>
        </w:tc>
      </w:tr>
      <w:tr w:rsidR="00227FEF">
        <w:tc>
          <w:tcPr>
            <w:tcW w:w="30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lastRenderedPageBreak/>
              <w:t>За чисельністю</w:t>
            </w:r>
          </w:p>
        </w:tc>
        <w:tc>
          <w:tcPr>
            <w:tcW w:w="31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Великі (понад 1 000 осіб)</w:t>
            </w:r>
          </w:p>
        </w:tc>
        <w:tc>
          <w:tcPr>
            <w:tcW w:w="31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6 сіл (35,3 %)</w:t>
            </w:r>
          </w:p>
        </w:tc>
      </w:tr>
      <w:tr w:rsidR="00227FEF">
        <w:tc>
          <w:tcPr>
            <w:tcW w:w="30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227FEF">
            <w:pPr>
              <w:snapToGrid w:val="0"/>
              <w:rPr>
                <w:rFonts w:ascii="Times New Roman" w:hAnsi="Times New Roman"/>
                <w:color w:val="000000"/>
                <w:sz w:val="28"/>
                <w:szCs w:val="28"/>
              </w:rPr>
            </w:pPr>
          </w:p>
        </w:tc>
        <w:tc>
          <w:tcPr>
            <w:tcW w:w="31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Середні (300–1 000 осіб)</w:t>
            </w:r>
          </w:p>
        </w:tc>
        <w:tc>
          <w:tcPr>
            <w:tcW w:w="31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5 сіл (29,4 %)</w:t>
            </w:r>
          </w:p>
        </w:tc>
      </w:tr>
      <w:tr w:rsidR="00227FEF">
        <w:tc>
          <w:tcPr>
            <w:tcW w:w="30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227FEF">
            <w:pPr>
              <w:snapToGrid w:val="0"/>
              <w:rPr>
                <w:rFonts w:ascii="Times New Roman" w:hAnsi="Times New Roman"/>
                <w:color w:val="000000"/>
                <w:sz w:val="28"/>
                <w:szCs w:val="28"/>
              </w:rPr>
            </w:pPr>
          </w:p>
        </w:tc>
        <w:tc>
          <w:tcPr>
            <w:tcW w:w="31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Малі (менше 300 осіб)</w:t>
            </w:r>
          </w:p>
        </w:tc>
        <w:tc>
          <w:tcPr>
            <w:tcW w:w="31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6 сіл (35,3 %)</w:t>
            </w:r>
          </w:p>
        </w:tc>
      </w:tr>
      <w:tr w:rsidR="00227FEF" w:rsidRPr="00F155F9">
        <w:tc>
          <w:tcPr>
            <w:tcW w:w="30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За географічним розташуванням</w:t>
            </w:r>
          </w:p>
        </w:tc>
        <w:tc>
          <w:tcPr>
            <w:tcW w:w="31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Долинні (уздовж р. Тур’я)</w:t>
            </w:r>
          </w:p>
        </w:tc>
        <w:tc>
          <w:tcPr>
            <w:tcW w:w="31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Тур’ї Ремети, Порошково, Тур’я Пасіка, Тур’я Поляна та ін.</w:t>
            </w:r>
          </w:p>
        </w:tc>
      </w:tr>
      <w:tr w:rsidR="00227FEF">
        <w:tc>
          <w:tcPr>
            <w:tcW w:w="30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227FEF">
            <w:pPr>
              <w:snapToGrid w:val="0"/>
              <w:rPr>
                <w:rFonts w:ascii="Times New Roman" w:hAnsi="Times New Roman"/>
                <w:color w:val="000000"/>
                <w:sz w:val="28"/>
                <w:szCs w:val="28"/>
                <w:lang w:val="ru-RU"/>
              </w:rPr>
            </w:pPr>
          </w:p>
        </w:tc>
        <w:tc>
          <w:tcPr>
            <w:tcW w:w="31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Гірські (у бокових долинах)</w:t>
            </w:r>
          </w:p>
        </w:tc>
        <w:tc>
          <w:tcPr>
            <w:tcW w:w="31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Лумшори, Турички, Липовець, Лікіцари</w:t>
            </w:r>
          </w:p>
        </w:tc>
      </w:tr>
      <w:tr w:rsidR="00227FEF">
        <w:tc>
          <w:tcPr>
            <w:tcW w:w="30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За функціональним типом</w:t>
            </w:r>
          </w:p>
        </w:tc>
        <w:tc>
          <w:tcPr>
            <w:tcW w:w="31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Адміністративно-обслуговуючі</w:t>
            </w:r>
          </w:p>
        </w:tc>
        <w:tc>
          <w:tcPr>
            <w:tcW w:w="31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Тур’ї Ремети</w:t>
            </w:r>
          </w:p>
        </w:tc>
      </w:tr>
      <w:tr w:rsidR="00227FEF">
        <w:tc>
          <w:tcPr>
            <w:tcW w:w="30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227FEF">
            <w:pPr>
              <w:snapToGrid w:val="0"/>
              <w:rPr>
                <w:rFonts w:ascii="Times New Roman" w:hAnsi="Times New Roman"/>
                <w:color w:val="000000"/>
                <w:sz w:val="28"/>
                <w:szCs w:val="28"/>
              </w:rPr>
            </w:pPr>
          </w:p>
        </w:tc>
        <w:tc>
          <w:tcPr>
            <w:tcW w:w="31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Сільськогосподарські</w:t>
            </w:r>
          </w:p>
        </w:tc>
        <w:tc>
          <w:tcPr>
            <w:tcW w:w="31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Порошково, Мокра, Маюрки</w:t>
            </w:r>
          </w:p>
        </w:tc>
      </w:tr>
      <w:tr w:rsidR="00227FEF">
        <w:tc>
          <w:tcPr>
            <w:tcW w:w="30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227FEF">
            <w:pPr>
              <w:snapToGrid w:val="0"/>
              <w:rPr>
                <w:rFonts w:ascii="Times New Roman" w:hAnsi="Times New Roman"/>
                <w:color w:val="000000"/>
                <w:sz w:val="28"/>
                <w:szCs w:val="28"/>
              </w:rPr>
            </w:pPr>
          </w:p>
        </w:tc>
        <w:tc>
          <w:tcPr>
            <w:tcW w:w="31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Рекреаційно-туристичні</w:t>
            </w:r>
          </w:p>
        </w:tc>
        <w:tc>
          <w:tcPr>
            <w:tcW w:w="31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Лумшори</w:t>
            </w:r>
          </w:p>
        </w:tc>
      </w:tr>
      <w:tr w:rsidR="00227FEF">
        <w:tc>
          <w:tcPr>
            <w:tcW w:w="30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227FEF">
            <w:pPr>
              <w:snapToGrid w:val="0"/>
              <w:rPr>
                <w:rFonts w:ascii="Times New Roman" w:hAnsi="Times New Roman"/>
                <w:color w:val="000000"/>
                <w:sz w:val="28"/>
                <w:szCs w:val="28"/>
              </w:rPr>
            </w:pPr>
          </w:p>
        </w:tc>
        <w:tc>
          <w:tcPr>
            <w:tcW w:w="31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Лісогосподарські</w:t>
            </w:r>
          </w:p>
        </w:tc>
        <w:tc>
          <w:tcPr>
            <w:tcW w:w="31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Тур’я-Бистра, Завбуч, Раково</w:t>
            </w:r>
          </w:p>
        </w:tc>
      </w:tr>
    </w:tbl>
    <w:p w:rsidR="00227FEF" w:rsidRDefault="00494B9D" w:rsidP="00F155F9">
      <w:pPr>
        <w:spacing w:before="120" w:after="120" w:line="276" w:lineRule="auto"/>
        <w:ind w:firstLine="708"/>
        <w:jc w:val="both"/>
        <w:rPr>
          <w:rFonts w:ascii="Times New Roman" w:hAnsi="Times New Roman"/>
          <w:sz w:val="28"/>
          <w:szCs w:val="28"/>
        </w:rPr>
      </w:pPr>
      <w:r>
        <w:rPr>
          <w:rFonts w:ascii="Times New Roman" w:eastAsia="Arial" w:hAnsi="Times New Roman"/>
          <w:sz w:val="28"/>
          <w:szCs w:val="28"/>
        </w:rPr>
        <w:t>Окрему увагу заслуговує село Лумшори, яке, незважаючи на малу чисельність постійного населення (84 особи), є широко відомим бальнеологічним курортом з багатовіковою історією. Перший лікувальний заклад тут почав працювати з 1600 року. Лумшори відомі унікальними мінеральними сірководневими джерелами, традицією купання в гарячих чанах та мальовничими гірськими ландшафтами. Щороку село приймає значну кількість туристів з усієї України, що є важливим чинником зайнятості й доходів не лише для самих Лумшор, а й для сусідніх сіл громади.</w:t>
      </w:r>
    </w:p>
    <w:p w:rsidR="00227FEF" w:rsidRDefault="00494B9D">
      <w:pPr>
        <w:pStyle w:val="2"/>
        <w:spacing w:before="120" w:after="120" w:line="276" w:lineRule="auto"/>
        <w:ind w:firstLine="708"/>
        <w:rPr>
          <w:rFonts w:ascii="Times New Roman" w:hAnsi="Times New Roman" w:cs="Times New Roman"/>
          <w:color w:val="000000"/>
        </w:rPr>
      </w:pPr>
      <w:r>
        <w:rPr>
          <w:rFonts w:ascii="Times New Roman" w:hAnsi="Times New Roman" w:cs="Times New Roman"/>
          <w:color w:val="000000"/>
        </w:rPr>
        <w:t>3. Демографічні тенденції</w:t>
      </w:r>
    </w:p>
    <w:p w:rsidR="00227FEF" w:rsidRDefault="00494B9D">
      <w:pPr>
        <w:pStyle w:val="3"/>
        <w:spacing w:before="120" w:line="276" w:lineRule="auto"/>
        <w:ind w:firstLine="708"/>
        <w:rPr>
          <w:rFonts w:ascii="Times New Roman" w:hAnsi="Times New Roman" w:cs="Times New Roman"/>
          <w:color w:val="000000"/>
          <w:sz w:val="28"/>
          <w:szCs w:val="28"/>
        </w:rPr>
      </w:pPr>
      <w:r>
        <w:rPr>
          <w:rFonts w:ascii="Times New Roman" w:hAnsi="Times New Roman" w:cs="Times New Roman"/>
          <w:color w:val="000000"/>
          <w:sz w:val="28"/>
          <w:szCs w:val="28"/>
        </w:rPr>
        <w:t>3.1. Динаміка чисельності населення</w:t>
      </w:r>
    </w:p>
    <w:p w:rsidR="00227FEF" w:rsidRDefault="00494B9D" w:rsidP="00AC1C09">
      <w:pPr>
        <w:spacing w:before="120" w:after="120" w:line="276" w:lineRule="auto"/>
        <w:ind w:firstLine="708"/>
        <w:jc w:val="both"/>
        <w:rPr>
          <w:rFonts w:ascii="Times New Roman" w:hAnsi="Times New Roman"/>
          <w:sz w:val="28"/>
          <w:szCs w:val="28"/>
          <w:lang w:val="ru-RU"/>
        </w:rPr>
      </w:pPr>
      <w:r w:rsidRPr="005E48D4">
        <w:rPr>
          <w:rFonts w:ascii="Times New Roman" w:eastAsia="Arial" w:hAnsi="Times New Roman"/>
          <w:sz w:val="28"/>
          <w:szCs w:val="28"/>
          <w:lang w:val="uk-UA"/>
        </w:rPr>
        <w:t xml:space="preserve">Демографічна ситуація в Тур’є-Реметівській громаді відображає загальні тенденції, характерні для гірських районів Закарпаття. Незважаючи на те, що Закарпатська область історично вирізнялася одними з найвищих показників народжуваності серед регіонів України (10,4 ‰ у 2019 році), для малих гірських громад характерним є поступове зменшення кількості мешканців. </w:t>
      </w:r>
      <w:r>
        <w:rPr>
          <w:rFonts w:ascii="Times New Roman" w:eastAsia="Arial" w:hAnsi="Times New Roman"/>
          <w:sz w:val="28"/>
          <w:szCs w:val="28"/>
          <w:lang w:val="ru-RU"/>
        </w:rPr>
        <w:t>Цей процес зумовлений поєднанням кількох факторів: зниженням природного приросту, інтенсивним міграційним відтоком та старінням населення у віддалених поселеннях.</w:t>
      </w:r>
    </w:p>
    <w:p w:rsidR="00227FEF" w:rsidRDefault="00494B9D" w:rsidP="00AC1C09">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lastRenderedPageBreak/>
        <w:t>П</w:t>
      </w:r>
      <w:r>
        <w:rPr>
          <w:rFonts w:ascii="Times New Roman" w:eastAsia="Arial" w:hAnsi="Times New Roman"/>
          <w:sz w:val="28"/>
          <w:szCs w:val="28"/>
          <w:lang w:val="uk-UA"/>
        </w:rPr>
        <w:t>ро</w:t>
      </w:r>
      <w:r>
        <w:rPr>
          <w:rFonts w:ascii="Times New Roman" w:eastAsia="Arial" w:hAnsi="Times New Roman"/>
          <w:sz w:val="28"/>
          <w:szCs w:val="28"/>
          <w:lang w:val="ru-RU"/>
        </w:rPr>
        <w:t>те, Закарпаттю в цілому притаманна підвищена, порівняно з іншими регіонами, частка осіб, молодших працездатного віку, і відповідно — порівняно менша частка осіб старших працездатного віку. Це зумовлено традиційно більш високою народжуваністю в регіоні та культурними особливостями сільських громад. Тур’є-Реметівська громада зберігає цю позитивну рису, хоча її вплив поступово слабшає.</w:t>
      </w:r>
    </w:p>
    <w:p w:rsidR="00227FEF" w:rsidRDefault="00494B9D">
      <w:pPr>
        <w:pStyle w:val="3"/>
        <w:spacing w:before="120" w:line="276" w:lineRule="auto"/>
        <w:ind w:firstLine="708"/>
        <w:rPr>
          <w:rFonts w:ascii="Times New Roman" w:hAnsi="Times New Roman" w:cs="Times New Roman"/>
          <w:color w:val="000000"/>
          <w:sz w:val="28"/>
          <w:szCs w:val="28"/>
        </w:rPr>
      </w:pPr>
      <w:r>
        <w:rPr>
          <w:rFonts w:ascii="Times New Roman" w:hAnsi="Times New Roman" w:cs="Times New Roman"/>
          <w:color w:val="000000"/>
          <w:sz w:val="28"/>
          <w:szCs w:val="28"/>
        </w:rPr>
        <w:t>3.2. Фактори впливу на демографічну ситуацію</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Основними чинниками, що впливають на демографічну ситуацію в громаді, є:</w:t>
      </w:r>
    </w:p>
    <w:p w:rsidR="00227FEF" w:rsidRDefault="00494B9D">
      <w:pPr>
        <w:pStyle w:val="ab"/>
        <w:numPr>
          <w:ilvl w:val="0"/>
          <w:numId w:val="20"/>
        </w:numPr>
        <w:spacing w:before="60" w:after="60" w:line="276" w:lineRule="auto"/>
        <w:jc w:val="both"/>
        <w:rPr>
          <w:rFonts w:ascii="Times New Roman" w:hAnsi="Times New Roman" w:cs="Times New Roman"/>
          <w:sz w:val="28"/>
          <w:szCs w:val="28"/>
        </w:rPr>
      </w:pPr>
      <w:r>
        <w:rPr>
          <w:rFonts w:ascii="Times New Roman" w:hAnsi="Times New Roman" w:cs="Times New Roman"/>
          <w:sz w:val="28"/>
          <w:szCs w:val="28"/>
        </w:rPr>
        <w:t>Міграційний відтік населення працездатного віку. Значна частина мешканців, особливо молоді, поїде на заробітки до міст Ужгород та Мукачево, а також за кордон — переважно до Чехії, Угорщини, Словаччини та Польщі. Трудова міграція за кордон є традиційним для Закарпаття явищем: перша хвиля міграції з Закарпаття зафіксована ще в 1877 році. За різними оцінками, від 15 до 30 % працездатного населення гірських громад Закарпаття є залученим у трудову міграцію.</w:t>
      </w:r>
    </w:p>
    <w:p w:rsidR="00227FEF" w:rsidRDefault="00494B9D">
      <w:pPr>
        <w:pStyle w:val="ab"/>
        <w:numPr>
          <w:ilvl w:val="0"/>
          <w:numId w:val="4"/>
        </w:numPr>
        <w:spacing w:before="60" w:after="60" w:line="276" w:lineRule="auto"/>
        <w:jc w:val="both"/>
        <w:rPr>
          <w:rFonts w:ascii="Times New Roman" w:hAnsi="Times New Roman" w:cs="Times New Roman"/>
          <w:sz w:val="28"/>
          <w:szCs w:val="28"/>
        </w:rPr>
      </w:pPr>
      <w:r>
        <w:rPr>
          <w:rFonts w:ascii="Times New Roman" w:hAnsi="Times New Roman" w:cs="Times New Roman"/>
          <w:sz w:val="28"/>
          <w:szCs w:val="28"/>
        </w:rPr>
        <w:t>Старіння населення у віддалених гірських селах. У таких населених пунктах, як Лікіцари, Лумшори, Липовець, Турички, частка осіб похилого віку є значно вищою, ніж у великих селах. Молодь, здобувши освіту, переважно не повертається до місць свого походження.</w:t>
      </w:r>
    </w:p>
    <w:p w:rsidR="00227FEF" w:rsidRDefault="00494B9D">
      <w:pPr>
        <w:pStyle w:val="ab"/>
        <w:numPr>
          <w:ilvl w:val="0"/>
          <w:numId w:val="4"/>
        </w:numPr>
        <w:spacing w:before="60" w:after="60" w:line="276" w:lineRule="auto"/>
        <w:jc w:val="both"/>
        <w:rPr>
          <w:rFonts w:ascii="Times New Roman" w:hAnsi="Times New Roman" w:cs="Times New Roman"/>
          <w:sz w:val="28"/>
          <w:szCs w:val="28"/>
        </w:rPr>
      </w:pPr>
      <w:r>
        <w:rPr>
          <w:rFonts w:ascii="Times New Roman" w:hAnsi="Times New Roman" w:cs="Times New Roman"/>
          <w:sz w:val="28"/>
          <w:szCs w:val="28"/>
        </w:rPr>
        <w:t>Скорочення природного приросту, спричинене зменшенням народжуваності (загальнонаціональний тренд) та зростанням смертності серед осіб похилого віку. Хоча Закарпаття залишається одним із лідерів за коефіцієнтом народжуваності в Україні, цей показник стабільно знижується з 1990-х років.</w:t>
      </w:r>
    </w:p>
    <w:p w:rsidR="00227FEF" w:rsidRDefault="00494B9D">
      <w:pPr>
        <w:pStyle w:val="ab"/>
        <w:numPr>
          <w:ilvl w:val="0"/>
          <w:numId w:val="4"/>
        </w:numPr>
        <w:spacing w:before="60" w:after="60" w:line="276" w:lineRule="auto"/>
        <w:jc w:val="both"/>
        <w:rPr>
          <w:rFonts w:ascii="Times New Roman" w:hAnsi="Times New Roman" w:cs="Times New Roman"/>
          <w:sz w:val="28"/>
          <w:szCs w:val="28"/>
        </w:rPr>
      </w:pPr>
      <w:r>
        <w:rPr>
          <w:rFonts w:ascii="Times New Roman" w:hAnsi="Times New Roman" w:cs="Times New Roman"/>
          <w:sz w:val="28"/>
          <w:szCs w:val="28"/>
        </w:rPr>
        <w:t>Негативне сальдо міграції — з 1994 року Закарпаття має стабільно негативне міграційне сальдо, яке до 2020-х років зрівнялося з позитивним природним приростом.</w:t>
      </w:r>
    </w:p>
    <w:p w:rsidR="00227FEF" w:rsidRDefault="00494B9D">
      <w:pPr>
        <w:pStyle w:val="3"/>
        <w:spacing w:before="120" w:line="276"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3.3. Вплив повномасштабної війни</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Повномасштабне вторгнення Росії в Україну у 2022 році суттєво вплинуло на демографічну ситуацію громади. Закарпатська область, географічно віддалена від зони бойових дій та розташована поблизу кордону з ЄС, прийняла значну кількість внутрішньо переміщених осіб (ВПО). За даними Закарпатської ОВА, станом на лютий 2023 року на території області зареєстровано понад 156 тис. ВПО.</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 xml:space="preserve">Прибуття ВПО частково компенсувало міграційні втрати та стало потенційним джерелом людського капіталу для громади. Водночас мобілізація чоловіків працездатного віку до Збройних Сил України поглибила проблему дефіциту </w:t>
      </w:r>
      <w:r>
        <w:rPr>
          <w:rFonts w:ascii="Times New Roman" w:eastAsia="Arial" w:hAnsi="Times New Roman"/>
          <w:sz w:val="28"/>
          <w:szCs w:val="28"/>
          <w:lang w:val="ru-RU"/>
        </w:rPr>
        <w:lastRenderedPageBreak/>
        <w:t>трудових ресурсів, особливо в сферах лісового та сільського господарства, де традиційно переважає чоловіча зайнятість.</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Серед ВПО на Закарпатті близько 13,7 % мають дистанційну зайнятість, а 18,5 % працюють безпосередньо на робочих місцях. Інтеграція ВПО в місцевий ринок праці залишається одним із викликів для громади, зважаючи на обмеженість формальних робочих місць у сільській місцевості.</w:t>
      </w:r>
    </w:p>
    <w:p w:rsidR="00227FEF" w:rsidRDefault="00494B9D">
      <w:pPr>
        <w:pStyle w:val="2"/>
        <w:spacing w:before="120" w:after="120" w:line="276" w:lineRule="auto"/>
        <w:ind w:firstLine="708"/>
        <w:rPr>
          <w:rFonts w:ascii="Times New Roman" w:hAnsi="Times New Roman" w:cs="Times New Roman"/>
          <w:color w:val="000000"/>
        </w:rPr>
      </w:pPr>
      <w:r>
        <w:rPr>
          <w:rFonts w:ascii="Times New Roman" w:hAnsi="Times New Roman" w:cs="Times New Roman"/>
          <w:color w:val="000000"/>
        </w:rPr>
        <w:t>4. Вікова структура населення</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Вікова структура населення громади відображає загальні тенденції для сільських гірських територій Закарпаття. За орієнтовними даними, населення працездатного віку (18–59/64 роки) становить приблизно 59 % від загальної чисельності, населення молодше працездатного віку (0–17 років) — близько 21 %, а старше працездатного віку — близько 20 %.</w:t>
      </w:r>
    </w:p>
    <w:p w:rsidR="00227FEF" w:rsidRDefault="00494B9D">
      <w:pPr>
        <w:spacing w:before="240" w:after="120"/>
        <w:jc w:val="center"/>
        <w:rPr>
          <w:rFonts w:ascii="Times New Roman" w:hAnsi="Times New Roman"/>
          <w:sz w:val="28"/>
          <w:szCs w:val="28"/>
          <w:lang w:val="ru-RU"/>
        </w:rPr>
      </w:pPr>
      <w:r>
        <w:rPr>
          <w:rFonts w:ascii="Times New Roman" w:eastAsia="Arial" w:hAnsi="Times New Roman"/>
          <w:b/>
          <w:bCs/>
          <w:sz w:val="28"/>
          <w:szCs w:val="28"/>
          <w:lang w:val="ru-RU"/>
        </w:rPr>
        <w:t>Таблиця 4.</w:t>
      </w:r>
      <w:r>
        <w:rPr>
          <w:rFonts w:ascii="Times New Roman" w:eastAsia="Arial" w:hAnsi="Times New Roman"/>
          <w:sz w:val="28"/>
          <w:szCs w:val="28"/>
          <w:lang w:val="ru-RU"/>
        </w:rPr>
        <w:t xml:space="preserve"> Орієнтовна вікова структура населення Тур’є-Реметівської громади</w:t>
      </w:r>
    </w:p>
    <w:tbl>
      <w:tblPr>
        <w:tblW w:w="9360" w:type="dxa"/>
        <w:tblLayout w:type="fixed"/>
        <w:tblCellMar>
          <w:top w:w="60" w:type="dxa"/>
          <w:left w:w="100" w:type="dxa"/>
          <w:bottom w:w="60" w:type="dxa"/>
          <w:right w:w="100" w:type="dxa"/>
        </w:tblCellMar>
        <w:tblLook w:val="0000" w:firstRow="0" w:lastRow="0" w:firstColumn="0" w:lastColumn="0" w:noHBand="0" w:noVBand="0"/>
      </w:tblPr>
      <w:tblGrid>
        <w:gridCol w:w="4000"/>
        <w:gridCol w:w="1800"/>
        <w:gridCol w:w="1800"/>
        <w:gridCol w:w="1760"/>
      </w:tblGrid>
      <w:tr w:rsidR="00227FEF">
        <w:tc>
          <w:tcPr>
            <w:tcW w:w="40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t>Вікова категорія</w:t>
            </w:r>
          </w:p>
        </w:tc>
        <w:tc>
          <w:tcPr>
            <w:tcW w:w="18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t>Кількість</w:t>
            </w:r>
          </w:p>
        </w:tc>
        <w:tc>
          <w:tcPr>
            <w:tcW w:w="18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t>Частка</w:t>
            </w:r>
          </w:p>
        </w:tc>
        <w:tc>
          <w:tcPr>
            <w:tcW w:w="17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t>Примітка</w:t>
            </w:r>
          </w:p>
        </w:tc>
      </w:tr>
      <w:tr w:rsidR="00227FEF">
        <w:tc>
          <w:tcPr>
            <w:tcW w:w="40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Населення молодше працездатного віку (0–17 років)</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~3 400</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~21 %</w:t>
            </w:r>
          </w:p>
        </w:tc>
        <w:tc>
          <w:tcPr>
            <w:tcW w:w="176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Діти, школярі</w:t>
            </w:r>
          </w:p>
        </w:tc>
      </w:tr>
      <w:tr w:rsidR="00227FEF">
        <w:tc>
          <w:tcPr>
            <w:tcW w:w="40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Населення працездатного віку (18–59/64 роки)</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~9 500</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~59 %</w:t>
            </w:r>
          </w:p>
        </w:tc>
        <w:tc>
          <w:tcPr>
            <w:tcW w:w="176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Основні трудові ресурси</w:t>
            </w:r>
          </w:p>
        </w:tc>
      </w:tr>
      <w:tr w:rsidR="00227FEF">
        <w:tc>
          <w:tcPr>
            <w:tcW w:w="40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Населення старше працездатного віку (60/65+)</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~3 200</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~20 %</w:t>
            </w:r>
          </w:p>
        </w:tc>
        <w:tc>
          <w:tcPr>
            <w:tcW w:w="176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Пенсіонери</w:t>
            </w:r>
          </w:p>
        </w:tc>
      </w:tr>
    </w:tbl>
    <w:p w:rsidR="00227FEF" w:rsidRDefault="00494B9D">
      <w:pPr>
        <w:spacing w:before="60" w:after="200"/>
        <w:jc w:val="both"/>
        <w:rPr>
          <w:rFonts w:ascii="Times New Roman" w:hAnsi="Times New Roman"/>
          <w:sz w:val="28"/>
          <w:szCs w:val="28"/>
          <w:lang w:val="ru-RU"/>
        </w:rPr>
      </w:pPr>
      <w:r>
        <w:rPr>
          <w:rFonts w:ascii="Times New Roman" w:eastAsia="Arial" w:hAnsi="Times New Roman"/>
          <w:sz w:val="28"/>
          <w:szCs w:val="28"/>
          <w:lang w:val="ru-RU"/>
        </w:rPr>
        <w:t>* Примітка: дані є оціночними, розрахованими на основі регіональних пропорцій Закарпатської області.</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 xml:space="preserve">Проте, вікова структура є нерівномірною в розрізі окремих населених пунктів. </w:t>
      </w:r>
      <w:proofErr w:type="gramStart"/>
      <w:r>
        <w:rPr>
          <w:rFonts w:ascii="Times New Roman" w:eastAsia="Arial" w:hAnsi="Times New Roman"/>
          <w:sz w:val="28"/>
          <w:szCs w:val="28"/>
          <w:lang w:val="ru-RU"/>
        </w:rPr>
        <w:t>У великих селах</w:t>
      </w:r>
      <w:proofErr w:type="gramEnd"/>
      <w:r>
        <w:rPr>
          <w:rFonts w:ascii="Times New Roman" w:eastAsia="Arial" w:hAnsi="Times New Roman"/>
          <w:sz w:val="28"/>
          <w:szCs w:val="28"/>
          <w:lang w:val="ru-RU"/>
        </w:rPr>
        <w:t xml:space="preserve"> (Порошково, Тур’ї Ремети, Тур’я Пасіка) зберігається відносно збалансована структура з достатньою часткою дітей та молоді. У малих гірських селах (Лікіцари, Лумшори, Турички, Липовець) спостерігається значне переважання осіб старшого віку, що свідчить про незворотні процеси демографічного старіння цих поселень.</w:t>
      </w:r>
    </w:p>
    <w:p w:rsidR="00227FEF" w:rsidRDefault="00494B9D" w:rsidP="00F155F9">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 xml:space="preserve">Коефіцієнт демографічного навантаження на працездатне населення є відносно високим (приблизно 0,69), що означає: на кожних 100 осіб працездатного віку припадає близько 69 осіб непрацездатного віку. Це створює підвищене навантаження на бюджет громади в частині фінансування освіти, охорони здоров’я та соціального </w:t>
      </w:r>
      <w:r>
        <w:rPr>
          <w:rFonts w:ascii="Times New Roman" w:eastAsia="Arial" w:hAnsi="Times New Roman"/>
          <w:sz w:val="28"/>
          <w:szCs w:val="28"/>
          <w:lang w:val="ru-RU"/>
        </w:rPr>
        <w:lastRenderedPageBreak/>
        <w:t>забезпечення. При цьому реальне навантаження є ще вищим, оскільки частина осіб працездатного віку перебуває на заробітках за межами громади.</w:t>
      </w:r>
    </w:p>
    <w:p w:rsidR="00227FEF" w:rsidRDefault="00494B9D">
      <w:pPr>
        <w:pStyle w:val="2"/>
        <w:spacing w:before="120" w:after="120" w:line="276" w:lineRule="auto"/>
        <w:ind w:firstLine="708"/>
        <w:rPr>
          <w:rFonts w:ascii="Times New Roman" w:hAnsi="Times New Roman" w:cs="Times New Roman"/>
          <w:color w:val="000000"/>
        </w:rPr>
      </w:pPr>
      <w:r>
        <w:rPr>
          <w:rFonts w:ascii="Times New Roman" w:hAnsi="Times New Roman" w:cs="Times New Roman"/>
          <w:color w:val="000000"/>
        </w:rPr>
        <w:t>5. Характеристика трудових ресурсів та зайнятість населення</w:t>
      </w:r>
    </w:p>
    <w:p w:rsidR="00227FEF" w:rsidRDefault="00494B9D">
      <w:pPr>
        <w:pStyle w:val="3"/>
        <w:spacing w:before="120" w:line="276" w:lineRule="auto"/>
        <w:ind w:firstLine="708"/>
        <w:rPr>
          <w:rFonts w:ascii="Times New Roman" w:hAnsi="Times New Roman" w:cs="Times New Roman"/>
          <w:color w:val="000000"/>
          <w:sz w:val="28"/>
          <w:szCs w:val="28"/>
        </w:rPr>
      </w:pPr>
      <w:r>
        <w:rPr>
          <w:rFonts w:ascii="Times New Roman" w:hAnsi="Times New Roman" w:cs="Times New Roman"/>
          <w:color w:val="000000"/>
          <w:sz w:val="28"/>
          <w:szCs w:val="28"/>
        </w:rPr>
        <w:t>5.1. Загальна характеристика ринку праці</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Трудові ресурси Тур’є-Реметівської громади формуються переважно за рахунок місцевого населення працездатного віку (приблизно 9 500 осіб). На території громади зареєстровано 217 юридичних осіб, більшість з яких є суб’єктами малого та мікропідприємництва. Останню юридичну ос</w:t>
      </w:r>
      <w:r w:rsidR="00AC1C09">
        <w:rPr>
          <w:rFonts w:ascii="Times New Roman" w:eastAsia="Arial" w:hAnsi="Times New Roman"/>
          <w:sz w:val="28"/>
          <w:szCs w:val="28"/>
          <w:lang w:val="ru-RU"/>
        </w:rPr>
        <w:t>обу — ТОВ "ВП ПОЛОНИНА РУНА-1" -</w:t>
      </w:r>
      <w:r>
        <w:rPr>
          <w:rFonts w:ascii="Times New Roman" w:eastAsia="Arial" w:hAnsi="Times New Roman"/>
          <w:sz w:val="28"/>
          <w:szCs w:val="28"/>
          <w:lang w:val="ru-RU"/>
        </w:rPr>
        <w:t xml:space="preserve"> зареєстровано в жовтні 2024 року, що свідчить про збереження підприємницької активності.</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 xml:space="preserve">Місцевий ринок праці характеризується вузькістю, обмеженістю формальних робочих місць та вираженою сезонністю. Значна частина зайнятості є неформальною: ведення особистого селянського господарства, дрібна торгівля, надання сезонних послуг туристам. За даними порталу «Бюджет для громадян», доходи загального фонду бюджету на 1 мешканця станом на </w:t>
      </w:r>
      <w:r>
        <w:rPr>
          <w:rFonts w:ascii="Times New Roman" w:eastAsia="Arial" w:hAnsi="Times New Roman"/>
          <w:sz w:val="28"/>
          <w:szCs w:val="28"/>
        </w:rPr>
        <w:t>I</w:t>
      </w:r>
      <w:r>
        <w:rPr>
          <w:rFonts w:ascii="Times New Roman" w:eastAsia="Arial" w:hAnsi="Times New Roman"/>
          <w:sz w:val="28"/>
          <w:szCs w:val="28"/>
          <w:lang w:val="ru-RU"/>
        </w:rPr>
        <w:t xml:space="preserve"> квартал 2021 року становили лише 386,6 грн, що свідчить про низьку податкову базу та обмеженість формальної економічної діяльності на території громади.</w:t>
      </w:r>
    </w:p>
    <w:p w:rsidR="00227FEF" w:rsidRDefault="00494B9D">
      <w:pPr>
        <w:pStyle w:val="3"/>
        <w:spacing w:before="120" w:line="276" w:lineRule="auto"/>
        <w:ind w:firstLine="708"/>
        <w:rPr>
          <w:rFonts w:ascii="Times New Roman" w:hAnsi="Times New Roman" w:cs="Times New Roman"/>
          <w:color w:val="000000"/>
          <w:sz w:val="28"/>
          <w:szCs w:val="28"/>
        </w:rPr>
      </w:pPr>
      <w:r>
        <w:rPr>
          <w:rFonts w:ascii="Times New Roman" w:hAnsi="Times New Roman" w:cs="Times New Roman"/>
          <w:color w:val="000000"/>
          <w:sz w:val="28"/>
          <w:szCs w:val="28"/>
        </w:rPr>
        <w:t>5.2. Основні сфери зайнятості</w:t>
      </w:r>
    </w:p>
    <w:p w:rsidR="00227FEF" w:rsidRPr="005E48D4" w:rsidRDefault="00494B9D">
      <w:pPr>
        <w:spacing w:before="120" w:after="120" w:line="276" w:lineRule="auto"/>
        <w:ind w:firstLine="708"/>
        <w:jc w:val="both"/>
        <w:rPr>
          <w:rFonts w:ascii="Times New Roman" w:hAnsi="Times New Roman"/>
          <w:sz w:val="28"/>
          <w:szCs w:val="28"/>
          <w:lang w:val="uk-UA"/>
        </w:rPr>
      </w:pPr>
      <w:r w:rsidRPr="005E48D4">
        <w:rPr>
          <w:rFonts w:ascii="Times New Roman" w:eastAsia="Arial" w:hAnsi="Times New Roman"/>
          <w:sz w:val="28"/>
          <w:szCs w:val="28"/>
          <w:lang w:val="uk-UA"/>
        </w:rPr>
        <w:t>Галузева структура зайнятості населення Тур’є-Реметівської громади є типовою для гірських сільських територій Закарпатської області та охоплює кілька основних сфер.</w:t>
      </w:r>
    </w:p>
    <w:p w:rsidR="00227FEF" w:rsidRDefault="00494B9D">
      <w:pPr>
        <w:spacing w:before="240" w:after="120"/>
        <w:jc w:val="center"/>
        <w:rPr>
          <w:rFonts w:ascii="Times New Roman" w:hAnsi="Times New Roman"/>
          <w:sz w:val="28"/>
          <w:szCs w:val="28"/>
          <w:lang w:val="ru-RU"/>
        </w:rPr>
      </w:pPr>
      <w:r>
        <w:rPr>
          <w:rFonts w:ascii="Times New Roman" w:eastAsia="Arial" w:hAnsi="Times New Roman"/>
          <w:b/>
          <w:bCs/>
          <w:sz w:val="28"/>
          <w:szCs w:val="28"/>
          <w:lang w:val="ru-RU"/>
        </w:rPr>
        <w:t>Таблиця 5.</w:t>
      </w:r>
      <w:r>
        <w:rPr>
          <w:rFonts w:ascii="Times New Roman" w:eastAsia="Arial" w:hAnsi="Times New Roman"/>
          <w:sz w:val="28"/>
          <w:szCs w:val="28"/>
          <w:lang w:val="ru-RU"/>
        </w:rPr>
        <w:t xml:space="preserve"> Основні сфери зайнятості населення громади</w:t>
      </w:r>
    </w:p>
    <w:tbl>
      <w:tblPr>
        <w:tblW w:w="9360" w:type="dxa"/>
        <w:tblLayout w:type="fixed"/>
        <w:tblCellMar>
          <w:top w:w="60" w:type="dxa"/>
          <w:left w:w="100" w:type="dxa"/>
          <w:bottom w:w="60" w:type="dxa"/>
          <w:right w:w="100" w:type="dxa"/>
        </w:tblCellMar>
        <w:tblLook w:val="0000" w:firstRow="0" w:lastRow="0" w:firstColumn="0" w:lastColumn="0" w:noHBand="0" w:noVBand="0"/>
      </w:tblPr>
      <w:tblGrid>
        <w:gridCol w:w="3500"/>
        <w:gridCol w:w="2930"/>
        <w:gridCol w:w="2930"/>
      </w:tblGrid>
      <w:tr w:rsidR="00227FEF">
        <w:tc>
          <w:tcPr>
            <w:tcW w:w="35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t>Сфера зайнятості</w:t>
            </w:r>
          </w:p>
        </w:tc>
        <w:tc>
          <w:tcPr>
            <w:tcW w:w="29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t>Основні види діяльності</w:t>
            </w:r>
          </w:p>
        </w:tc>
        <w:tc>
          <w:tcPr>
            <w:tcW w:w="29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t>Територіальна прив’язка</w:t>
            </w:r>
          </w:p>
        </w:tc>
      </w:tr>
      <w:tr w:rsidR="00227FEF" w:rsidRPr="00F155F9">
        <w:tc>
          <w:tcPr>
            <w:tcW w:w="35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Лісове господарство та деревообробка</w:t>
            </w:r>
          </w:p>
        </w:tc>
        <w:tc>
          <w:tcPr>
            <w:tcW w:w="293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Лісозаготівля, первинна обробка деревини, заготівля дров</w:t>
            </w:r>
          </w:p>
        </w:tc>
        <w:tc>
          <w:tcPr>
            <w:tcW w:w="293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Тур’я-Бистра, Завбуч, Раково, Тур’я Пасіка</w:t>
            </w:r>
          </w:p>
        </w:tc>
      </w:tr>
      <w:tr w:rsidR="00227FEF" w:rsidRPr="00F155F9">
        <w:tc>
          <w:tcPr>
            <w:tcW w:w="35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Сільське господарство</w:t>
            </w:r>
          </w:p>
        </w:tc>
        <w:tc>
          <w:tcPr>
            <w:tcW w:w="293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Тваринництво (ВРХ, вівчарство), рослинництво (картопля, зернові)</w:t>
            </w:r>
          </w:p>
        </w:tc>
        <w:tc>
          <w:tcPr>
            <w:tcW w:w="293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Порошково, Мокра, Маюрки, Тур’я Поляна</w:t>
            </w:r>
          </w:p>
        </w:tc>
      </w:tr>
      <w:tr w:rsidR="00227FEF">
        <w:tc>
          <w:tcPr>
            <w:tcW w:w="35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Туризм і рекреація</w:t>
            </w:r>
          </w:p>
        </w:tc>
        <w:tc>
          <w:tcPr>
            <w:tcW w:w="293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Бальнеологічний курорт, зелений туризм, еко-туризм</w:t>
            </w:r>
          </w:p>
        </w:tc>
        <w:tc>
          <w:tcPr>
            <w:tcW w:w="293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Лумшори, Тур’ї Ремети</w:t>
            </w:r>
          </w:p>
        </w:tc>
      </w:tr>
      <w:tr w:rsidR="00227FEF">
        <w:tc>
          <w:tcPr>
            <w:tcW w:w="35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lastRenderedPageBreak/>
              <w:t>Торгівля та сфера послуг</w:t>
            </w:r>
          </w:p>
        </w:tc>
        <w:tc>
          <w:tcPr>
            <w:tcW w:w="293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Роздрібна торгівля, побутові послуги, громадське харчування</w:t>
            </w:r>
          </w:p>
        </w:tc>
        <w:tc>
          <w:tcPr>
            <w:tcW w:w="293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Тур’ї Ремети, Порошково</w:t>
            </w:r>
          </w:p>
        </w:tc>
      </w:tr>
      <w:tr w:rsidR="00227FEF">
        <w:tc>
          <w:tcPr>
            <w:tcW w:w="35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Бюджетна сфера</w:t>
            </w:r>
          </w:p>
        </w:tc>
        <w:tc>
          <w:tcPr>
            <w:tcW w:w="293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Освіта, охорона здоров’я, державне управління, культура</w:t>
            </w:r>
          </w:p>
        </w:tc>
        <w:tc>
          <w:tcPr>
            <w:tcW w:w="293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Усі населені пункти</w:t>
            </w:r>
          </w:p>
        </w:tc>
      </w:tr>
      <w:tr w:rsidR="00227FEF">
        <w:tc>
          <w:tcPr>
            <w:tcW w:w="35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Мале підприємництво (ФОП)</w:t>
            </w:r>
          </w:p>
        </w:tc>
        <w:tc>
          <w:tcPr>
            <w:tcW w:w="293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Надання послуг, дрібна торгівля, будівництво</w:t>
            </w:r>
          </w:p>
        </w:tc>
        <w:tc>
          <w:tcPr>
            <w:tcW w:w="293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Усі населені пункти</w:t>
            </w:r>
          </w:p>
        </w:tc>
      </w:tr>
      <w:tr w:rsidR="00227FEF">
        <w:tc>
          <w:tcPr>
            <w:tcW w:w="35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Трудова міграція</w:t>
            </w:r>
          </w:p>
        </w:tc>
        <w:tc>
          <w:tcPr>
            <w:tcW w:w="293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Будівництво, сільське госп., сфера послуг за кордоном</w:t>
            </w:r>
          </w:p>
        </w:tc>
        <w:tc>
          <w:tcPr>
            <w:tcW w:w="293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Усі населені пункти</w:t>
            </w:r>
          </w:p>
        </w:tc>
      </w:tr>
    </w:tbl>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 xml:space="preserve">Лісове господарство та деревообробка залишається однією з ключових галузей економіки громади. Значні площі лісових масивів (переважно хвойні та змішані ліси на схилах Полонини Руної) забезпечують сировинну базу для лісозаготівлі та первинної обробки деревини. Зайнятість у цій галузі має виражений сезонний характер і переважно охоплює чоловіче населення. Лісове господарство також </w:t>
      </w:r>
      <w:r w:rsidR="0093226E">
        <w:rPr>
          <w:rFonts w:ascii="Times New Roman" w:eastAsia="Arial" w:hAnsi="Times New Roman"/>
          <w:sz w:val="28"/>
          <w:szCs w:val="28"/>
          <w:lang w:val="ru-RU"/>
        </w:rPr>
        <w:t>піддається</w:t>
      </w:r>
      <w:r>
        <w:rPr>
          <w:rFonts w:ascii="Times New Roman" w:eastAsia="Arial" w:hAnsi="Times New Roman"/>
          <w:sz w:val="28"/>
          <w:szCs w:val="28"/>
          <w:lang w:val="ru-RU"/>
        </w:rPr>
        <w:t xml:space="preserve"> підвищеним вимогам щодо раціонального природокористування та є чутливим до змін державної лісової політики.</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Сільське господарство представлене переважно дрібнотоварним виробництвом: тваринництво (розведення великої рогатої худоби, вівчарство), рослинництво (вирощування картоплі, зернових, кормових культур) та збір дикорослих ягід і грибів. Землеробство обмежене гірським рельєфом та кл</w:t>
      </w:r>
      <w:r>
        <w:rPr>
          <w:rFonts w:ascii="Times New Roman" w:eastAsia="Arial" w:hAnsi="Times New Roman"/>
          <w:sz w:val="28"/>
          <w:szCs w:val="28"/>
        </w:rPr>
        <w:t>i</w:t>
      </w:r>
      <w:r>
        <w:rPr>
          <w:rFonts w:ascii="Times New Roman" w:eastAsia="Arial" w:hAnsi="Times New Roman"/>
          <w:sz w:val="28"/>
          <w:szCs w:val="28"/>
          <w:lang w:val="ru-RU"/>
        </w:rPr>
        <w:t>матичними умовами, тому сільськогосподарська діяльність зосереджена переважно в долинних частинах громади (Порошково, Мокра, Маюрки, Тур’я Поляна). Значна частина населення веде особисті селянські господарства, які є важливим елементом продовольчої безпеки родин.</w:t>
      </w:r>
    </w:p>
    <w:p w:rsidR="00227FEF" w:rsidRDefault="00494B9D" w:rsidP="00AC1C09">
      <w:pPr>
        <w:spacing w:before="120" w:after="120" w:line="276" w:lineRule="auto"/>
        <w:ind w:firstLine="708"/>
        <w:jc w:val="both"/>
        <w:rPr>
          <w:rFonts w:ascii="Times New Roman" w:eastAsia="Arial" w:hAnsi="Times New Roman"/>
          <w:sz w:val="28"/>
          <w:szCs w:val="28"/>
          <w:lang w:val="ru-RU"/>
        </w:rPr>
      </w:pPr>
      <w:r>
        <w:rPr>
          <w:rFonts w:ascii="Times New Roman" w:eastAsia="Arial" w:hAnsi="Times New Roman"/>
          <w:sz w:val="28"/>
          <w:szCs w:val="28"/>
          <w:lang w:val="ru-RU"/>
        </w:rPr>
        <w:t>Туризм і рекреація є найбільш перспективною сферою з</w:t>
      </w:r>
      <w:r w:rsidR="00162322">
        <w:rPr>
          <w:rFonts w:ascii="Times New Roman" w:eastAsia="Arial" w:hAnsi="Times New Roman"/>
          <w:sz w:val="28"/>
          <w:szCs w:val="28"/>
          <w:lang w:val="ru-RU"/>
        </w:rPr>
        <w:t>айнятості для громади. Лумшори -</w:t>
      </w:r>
      <w:r>
        <w:rPr>
          <w:rFonts w:ascii="Times New Roman" w:eastAsia="Arial" w:hAnsi="Times New Roman"/>
          <w:sz w:val="28"/>
          <w:szCs w:val="28"/>
          <w:lang w:val="ru-RU"/>
        </w:rPr>
        <w:t xml:space="preserve"> село з багатовіковою курортною історією, відомий бальнеологічний центр Закарпаття з унікальними сірководневими мінеральними джерелами та традицією купання в гарячих чанах, яка існує з </w:t>
      </w:r>
      <w:r>
        <w:rPr>
          <w:rFonts w:ascii="Times New Roman" w:eastAsia="Arial" w:hAnsi="Times New Roman"/>
          <w:sz w:val="28"/>
          <w:szCs w:val="28"/>
        </w:rPr>
        <w:t>XVII</w:t>
      </w:r>
      <w:r>
        <w:rPr>
          <w:rFonts w:ascii="Times New Roman" w:eastAsia="Arial" w:hAnsi="Times New Roman"/>
          <w:sz w:val="28"/>
          <w:szCs w:val="28"/>
          <w:lang w:val="ru-RU"/>
        </w:rPr>
        <w:t xml:space="preserve"> століття. Курорт включений до переліку п’яти найкращих термальних джерел Закарпаття. Щороку село приймає значну кількість туристів, що створює робочі місця у сфері розміщення (садиби, котеджі, бази відпочинку), харчування, транспорту та розваг. На території громади </w:t>
      </w:r>
      <w:r>
        <w:rPr>
          <w:rFonts w:ascii="Times New Roman" w:eastAsia="Arial" w:hAnsi="Times New Roman"/>
          <w:sz w:val="28"/>
          <w:szCs w:val="28"/>
          <w:lang w:val="ru-RU"/>
        </w:rPr>
        <w:lastRenderedPageBreak/>
        <w:t>розробляється історико-промисловий маршрут «Шляхами Турянської Долини», спрямований на розвиток культурного туризму.</w:t>
      </w:r>
    </w:p>
    <w:p w:rsidR="00227FEF" w:rsidRDefault="00494B9D" w:rsidP="0093226E">
      <w:pPr>
        <w:spacing w:before="120" w:after="120" w:line="276" w:lineRule="auto"/>
        <w:ind w:firstLine="708"/>
        <w:jc w:val="both"/>
        <w:rPr>
          <w:rFonts w:ascii="Times New Roman" w:eastAsia="Arial" w:hAnsi="Times New Roman"/>
          <w:sz w:val="28"/>
          <w:szCs w:val="28"/>
          <w:lang w:val="ru-RU"/>
        </w:rPr>
      </w:pPr>
      <w:r>
        <w:rPr>
          <w:rFonts w:ascii="Times New Roman" w:eastAsia="Arial" w:hAnsi="Times New Roman"/>
          <w:sz w:val="28"/>
          <w:szCs w:val="28"/>
          <w:lang w:val="ru-RU"/>
        </w:rPr>
        <w:t>Бюджетна сфера (освіта, охорона здоров’я, культура, державне управління) є одним із найбільших формальних роботодавців у громаді. В громаді функціонює 8 закладів, що надають первинну медичну допомогу, 11 закладів загальної середньої освіти, 6 закладів дошкільної освіти та 3 дошкільні підрозділи гімназій, Школа мистецтв у с. Тур’ї Ремети, Інклюзивно-ресурсний центр, заклади культури.</w:t>
      </w:r>
    </w:p>
    <w:p w:rsidR="00227FEF" w:rsidRDefault="00494B9D" w:rsidP="0093226E">
      <w:pPr>
        <w:spacing w:before="120" w:after="120" w:line="276" w:lineRule="auto"/>
        <w:ind w:firstLine="708"/>
        <w:jc w:val="both"/>
        <w:rPr>
          <w:rFonts w:ascii="Times New Roman" w:hAnsi="Times New Roman"/>
          <w:sz w:val="28"/>
          <w:szCs w:val="28"/>
          <w:lang w:val="ru-RU"/>
        </w:rPr>
      </w:pPr>
      <w:r>
        <w:rPr>
          <w:rFonts w:ascii="Times New Roman" w:eastAsia="Times New Roman" w:hAnsi="Times New Roman"/>
          <w:sz w:val="28"/>
          <w:szCs w:val="28"/>
          <w:lang w:val="ru-RU"/>
        </w:rPr>
        <w:t xml:space="preserve"> </w:t>
      </w:r>
      <w:r>
        <w:rPr>
          <w:rFonts w:ascii="Times New Roman" w:eastAsia="Arial" w:hAnsi="Times New Roman"/>
          <w:sz w:val="28"/>
          <w:szCs w:val="28"/>
          <w:lang w:val="ru-RU"/>
        </w:rPr>
        <w:t>Видатки бюджету на оплату праці з нарахуваннями становлять значну частку загального обсягу видатків, що є типовим для сільських громад з обмеженою економічною базою.</w:t>
      </w:r>
    </w:p>
    <w:p w:rsidR="00227FEF" w:rsidRDefault="00494B9D">
      <w:pPr>
        <w:pStyle w:val="3"/>
        <w:spacing w:before="120" w:line="276" w:lineRule="auto"/>
        <w:ind w:firstLine="708"/>
        <w:rPr>
          <w:rFonts w:ascii="Times New Roman" w:hAnsi="Times New Roman" w:cs="Times New Roman"/>
          <w:color w:val="000000"/>
          <w:sz w:val="28"/>
          <w:szCs w:val="28"/>
        </w:rPr>
      </w:pPr>
      <w:r>
        <w:rPr>
          <w:rFonts w:ascii="Times New Roman" w:hAnsi="Times New Roman" w:cs="Times New Roman"/>
          <w:color w:val="000000"/>
          <w:sz w:val="28"/>
          <w:szCs w:val="28"/>
        </w:rPr>
        <w:t>5.3. Трудова міграція</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Трудова міграція є визначальною рисою ринку праці Тур’є-Реметівської громади та Закарпаття загалом. Історично трудова еміграція з Закарпаття розпочалася ще у 1877 році, коли перша хвиля переселенців з регіону вирушила до США. Упродовж 1871–1900 років Закарпаття залишили близько 170 тис. переселенців. Ця історична традиція міграції збереглася й дотепер.</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Сучасна трудова міграція мешканців громади спрямована переважно до країн Європейського Союзу: Чехія, Угорщина, Словаччина, Польща. За результатами досліджень, закарпатські трудові мігранти в країнах ЄС працюють переважно у будівництві (34 %), сфері послуг (17 %), охороні здоров’я (8 %) та сільському господарстві (8 %). Для країн ЄС характерна орієнтація на постійну роботу.</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Наслідки трудової міграції для громади є суперечливими. З одного боку, грошові перекази трудових мігрантів є одним із ключових джерел доходів домогосподарств, підвищують платоспроможність населення та стимулюють будівництво житла. З іншого — міграція приводить до дефіциту кадрів на місцевому ринку праці, руйнування сімейних зв’язків (діти часто виховуються бабусями та дідусями), втрати людського капіталу та поглиблення демографічних диспропорцій.</w:t>
      </w:r>
    </w:p>
    <w:p w:rsidR="00227FEF" w:rsidRDefault="00494B9D">
      <w:pPr>
        <w:pStyle w:val="3"/>
        <w:spacing w:before="120" w:line="276" w:lineRule="auto"/>
        <w:ind w:firstLine="708"/>
        <w:rPr>
          <w:rFonts w:ascii="Times New Roman" w:hAnsi="Times New Roman" w:cs="Times New Roman"/>
          <w:color w:val="000000"/>
          <w:sz w:val="28"/>
          <w:szCs w:val="28"/>
        </w:rPr>
      </w:pPr>
      <w:r>
        <w:rPr>
          <w:rFonts w:ascii="Times New Roman" w:hAnsi="Times New Roman" w:cs="Times New Roman"/>
          <w:color w:val="000000"/>
          <w:sz w:val="28"/>
          <w:szCs w:val="28"/>
        </w:rPr>
        <w:t>5.4. Безробіття та самозайнятість</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 xml:space="preserve">Рівень зареєстрованого безробіття в громаді є помірним, проте реальний рівень незайнятості, з урахуванням прихованого безробіття та сезонного характеру значної частини робіт у сільському та лісовому господарстві, є суттєво вищим за офіційні показники. </w:t>
      </w:r>
      <w:proofErr w:type="gramStart"/>
      <w:r>
        <w:rPr>
          <w:rFonts w:ascii="Times New Roman" w:eastAsia="Arial" w:hAnsi="Times New Roman"/>
          <w:sz w:val="28"/>
          <w:szCs w:val="28"/>
          <w:lang w:val="ru-RU"/>
        </w:rPr>
        <w:t>В зимовий</w:t>
      </w:r>
      <w:proofErr w:type="gramEnd"/>
      <w:r>
        <w:rPr>
          <w:rFonts w:ascii="Times New Roman" w:eastAsia="Arial" w:hAnsi="Times New Roman"/>
          <w:sz w:val="28"/>
          <w:szCs w:val="28"/>
          <w:lang w:val="ru-RU"/>
        </w:rPr>
        <w:t xml:space="preserve"> період, коли лісозаготівля та сільськогосподарські роботи припиняються, безробіття зростає до максимуму.</w:t>
      </w:r>
    </w:p>
    <w:p w:rsidR="00227FEF" w:rsidRDefault="00494B9D">
      <w:pPr>
        <w:spacing w:before="120" w:after="120" w:line="276" w:lineRule="auto"/>
        <w:jc w:val="both"/>
        <w:rPr>
          <w:rFonts w:ascii="Times New Roman" w:hAnsi="Times New Roman"/>
          <w:sz w:val="28"/>
          <w:szCs w:val="28"/>
          <w:lang w:val="ru-RU"/>
        </w:rPr>
      </w:pPr>
      <w:r>
        <w:rPr>
          <w:rFonts w:ascii="Times New Roman" w:eastAsia="Arial" w:hAnsi="Times New Roman"/>
          <w:sz w:val="28"/>
          <w:szCs w:val="28"/>
          <w:lang w:val="ru-RU"/>
        </w:rPr>
        <w:lastRenderedPageBreak/>
        <w:t>Самозайнятість населення — ведення особистого селянського господарства, надання послуг у сфері туризму, дрібна торгівля, заготівля лісових ресурсів (гриби, ягоди, л</w:t>
      </w:r>
      <w:r>
        <w:rPr>
          <w:rFonts w:ascii="Times New Roman" w:eastAsia="Arial" w:hAnsi="Times New Roman"/>
          <w:sz w:val="28"/>
          <w:szCs w:val="28"/>
        </w:rPr>
        <w:t>i</w:t>
      </w:r>
      <w:r>
        <w:rPr>
          <w:rFonts w:ascii="Times New Roman" w:eastAsia="Arial" w:hAnsi="Times New Roman"/>
          <w:sz w:val="28"/>
          <w:szCs w:val="28"/>
          <w:lang w:val="ru-RU"/>
        </w:rPr>
        <w:t>карські рослини) — залишається поширеною формою забезпечення зайнятості та доходів. Фізичні особи-підприємці (ФОП) становлять значну частку ділової активності на території громади.</w:t>
      </w:r>
    </w:p>
    <w:p w:rsidR="00227FEF" w:rsidRDefault="00494B9D">
      <w:pPr>
        <w:pStyle w:val="2"/>
        <w:spacing w:before="120" w:after="120" w:line="276" w:lineRule="auto"/>
        <w:ind w:firstLine="708"/>
        <w:rPr>
          <w:rFonts w:ascii="Times New Roman" w:hAnsi="Times New Roman" w:cs="Times New Roman"/>
          <w:color w:val="000000"/>
        </w:rPr>
      </w:pPr>
      <w:r>
        <w:rPr>
          <w:rFonts w:ascii="Times New Roman" w:hAnsi="Times New Roman" w:cs="Times New Roman"/>
          <w:color w:val="000000"/>
        </w:rPr>
        <w:t>6. Освітній рівень та кваліфікація трудових ресурсів</w:t>
      </w:r>
    </w:p>
    <w:p w:rsidR="00227FEF" w:rsidRDefault="00494B9D">
      <w:pPr>
        <w:pStyle w:val="3"/>
        <w:spacing w:before="120" w:line="276" w:lineRule="auto"/>
        <w:ind w:firstLine="708"/>
        <w:rPr>
          <w:rFonts w:ascii="Times New Roman" w:hAnsi="Times New Roman" w:cs="Times New Roman"/>
          <w:color w:val="000000"/>
          <w:sz w:val="28"/>
          <w:szCs w:val="28"/>
        </w:rPr>
      </w:pPr>
      <w:r>
        <w:rPr>
          <w:rFonts w:ascii="Times New Roman" w:hAnsi="Times New Roman" w:cs="Times New Roman"/>
          <w:color w:val="000000"/>
          <w:sz w:val="28"/>
          <w:szCs w:val="28"/>
        </w:rPr>
        <w:t>6.1. Мережа освітніх закладів</w:t>
      </w:r>
    </w:p>
    <w:p w:rsidR="00227FEF" w:rsidRDefault="00494B9D">
      <w:pPr>
        <w:spacing w:before="120" w:after="120" w:line="276" w:lineRule="auto"/>
        <w:ind w:firstLine="708"/>
        <w:jc w:val="both"/>
        <w:rPr>
          <w:rFonts w:ascii="Times New Roman" w:hAnsi="Times New Roman"/>
          <w:sz w:val="28"/>
          <w:szCs w:val="28"/>
          <w:lang w:val="uk-UA"/>
        </w:rPr>
      </w:pPr>
      <w:r>
        <w:rPr>
          <w:rFonts w:ascii="Times New Roman" w:eastAsia="Arial" w:hAnsi="Times New Roman"/>
          <w:sz w:val="28"/>
          <w:szCs w:val="28"/>
          <w:lang w:val="uk-UA"/>
        </w:rPr>
        <w:t xml:space="preserve">На території громади функціонює мережа з 11 закладів загальної середньої освіти, 6 закладів дошкільної освіти та 3 дошкільні підрозділи гімназій,  комунальний заклад «Тур’є-Реметівська школа мистецтв» Тур’є-Реметівської сільської ради, </w:t>
      </w:r>
      <w:r>
        <w:rPr>
          <w:rFonts w:ascii="Times New Roman" w:eastAsia="Arial" w:hAnsi="Times New Roman"/>
          <w:color w:val="000000"/>
          <w:sz w:val="28"/>
          <w:szCs w:val="28"/>
          <w:lang w:val="uk-UA"/>
        </w:rPr>
        <w:t>комунальна установа «Інклюзивно-Ресурсний центр», к</w:t>
      </w:r>
      <w:r>
        <w:rPr>
          <w:rFonts w:ascii="Times New Roman" w:eastAsia="Arial" w:hAnsi="Times New Roman"/>
          <w:sz w:val="28"/>
          <w:szCs w:val="28"/>
          <w:lang w:val="uk-UA"/>
        </w:rPr>
        <w:t>оординацію освітньої діяльності здійснює відділ освіти, культури, молоді та спорту Тур’є-Реметівської сільської ради.</w:t>
      </w:r>
    </w:p>
    <w:p w:rsidR="00227FEF" w:rsidRDefault="00494B9D">
      <w:pPr>
        <w:spacing w:before="120" w:after="120" w:line="276" w:lineRule="auto"/>
        <w:ind w:firstLine="708"/>
        <w:jc w:val="both"/>
        <w:rPr>
          <w:rFonts w:ascii="Times New Roman" w:hAnsi="Times New Roman"/>
          <w:sz w:val="28"/>
          <w:szCs w:val="28"/>
          <w:lang w:val="uk-UA"/>
        </w:rPr>
      </w:pPr>
      <w:r>
        <w:rPr>
          <w:rFonts w:ascii="Times New Roman" w:eastAsia="Arial" w:hAnsi="Times New Roman"/>
          <w:sz w:val="28"/>
          <w:szCs w:val="28"/>
          <w:lang w:val="uk-UA"/>
        </w:rPr>
        <w:t>Освітня мережа стикається з типовими для гірських територій викликами: малокомплектність шкіл у невеликих населених пунктах, труднощі із підвезенням учнів, обмеженість матеріально-технічної бази, нестача педагогічних кадрів (особливо з природничих та іноземних мов).</w:t>
      </w:r>
    </w:p>
    <w:p w:rsidR="00227FEF" w:rsidRDefault="00494B9D">
      <w:pPr>
        <w:pStyle w:val="3"/>
        <w:spacing w:before="120" w:line="276" w:lineRule="auto"/>
        <w:ind w:firstLine="708"/>
        <w:rPr>
          <w:rFonts w:ascii="Times New Roman" w:hAnsi="Times New Roman" w:cs="Times New Roman"/>
          <w:color w:val="000000"/>
          <w:sz w:val="28"/>
          <w:szCs w:val="28"/>
        </w:rPr>
      </w:pPr>
      <w:r>
        <w:rPr>
          <w:rFonts w:ascii="Times New Roman" w:hAnsi="Times New Roman" w:cs="Times New Roman"/>
          <w:color w:val="000000"/>
          <w:sz w:val="28"/>
          <w:szCs w:val="28"/>
        </w:rPr>
        <w:t>6.2. Підготовка кадрів та кваліфікаційний рівень</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Для здобуття професійно-технічної та вищої освіти мешканці громади переїжджають до районних та обласних центрів (Перечин, Ужгород, Мукачево). Більшість молодих людей, здобувши освіту, залишаються в містах або виїжджають за кордон, що призводить до постійного «вимивання» кваліфікованих кадрів з громади.</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Серед основних проблем кадрового забезпечення громади варто виділити:</w:t>
      </w:r>
    </w:p>
    <w:p w:rsidR="00227FEF" w:rsidRDefault="00494B9D">
      <w:pPr>
        <w:pStyle w:val="ab"/>
        <w:numPr>
          <w:ilvl w:val="0"/>
          <w:numId w:val="4"/>
        </w:numPr>
        <w:spacing w:before="60" w:after="60" w:line="276" w:lineRule="auto"/>
        <w:jc w:val="both"/>
        <w:rPr>
          <w:rFonts w:ascii="Times New Roman" w:hAnsi="Times New Roman" w:cs="Times New Roman"/>
          <w:sz w:val="28"/>
          <w:szCs w:val="28"/>
        </w:rPr>
      </w:pPr>
      <w:r>
        <w:rPr>
          <w:rFonts w:ascii="Times New Roman" w:hAnsi="Times New Roman" w:cs="Times New Roman"/>
          <w:sz w:val="28"/>
          <w:szCs w:val="28"/>
        </w:rPr>
        <w:t>Брак педагогічних кадрів у малокомплектних школах, особливо з природничих предметів, інформатики та іноземних мов.</w:t>
      </w:r>
    </w:p>
    <w:p w:rsidR="00227FEF" w:rsidRDefault="00494B9D">
      <w:pPr>
        <w:pStyle w:val="ab"/>
        <w:numPr>
          <w:ilvl w:val="0"/>
          <w:numId w:val="4"/>
        </w:numPr>
        <w:spacing w:before="60" w:after="60" w:line="276" w:lineRule="auto"/>
        <w:jc w:val="both"/>
        <w:rPr>
          <w:rFonts w:ascii="Times New Roman" w:hAnsi="Times New Roman" w:cs="Times New Roman"/>
          <w:sz w:val="28"/>
          <w:szCs w:val="28"/>
        </w:rPr>
      </w:pPr>
      <w:r>
        <w:rPr>
          <w:rFonts w:ascii="Times New Roman" w:hAnsi="Times New Roman" w:cs="Times New Roman"/>
          <w:sz w:val="28"/>
          <w:szCs w:val="28"/>
        </w:rPr>
        <w:t>Обмежені можливості для професійної перепідготовки та підвищення кваліфікації безпосередньо на території громади. Найближчі центри підвищення кваліфікації розташовані в Ужгороді.</w:t>
      </w:r>
    </w:p>
    <w:p w:rsidR="00227FEF" w:rsidRDefault="00494B9D">
      <w:pPr>
        <w:pStyle w:val="ab"/>
        <w:numPr>
          <w:ilvl w:val="0"/>
          <w:numId w:val="4"/>
        </w:numPr>
        <w:spacing w:before="60" w:after="60" w:line="276" w:lineRule="auto"/>
        <w:jc w:val="both"/>
        <w:rPr>
          <w:rFonts w:ascii="Times New Roman" w:hAnsi="Times New Roman" w:cs="Times New Roman"/>
          <w:sz w:val="28"/>
          <w:szCs w:val="28"/>
        </w:rPr>
      </w:pPr>
      <w:r>
        <w:rPr>
          <w:rFonts w:ascii="Times New Roman" w:hAnsi="Times New Roman" w:cs="Times New Roman"/>
          <w:sz w:val="28"/>
          <w:szCs w:val="28"/>
        </w:rPr>
        <w:t>Дисбаланс між попитом місцевого ринку праці (переважно робітничі спеціальності у лісовій, сільськогосподарській галузі, будівництві, туризмі) та пропозицією (молодь з вищою освітою орієнтується на міську зайнятість або міграцію).</w:t>
      </w:r>
    </w:p>
    <w:p w:rsidR="00227FEF" w:rsidRDefault="00494B9D">
      <w:pPr>
        <w:pStyle w:val="ab"/>
        <w:numPr>
          <w:ilvl w:val="0"/>
          <w:numId w:val="4"/>
        </w:numPr>
        <w:spacing w:before="60" w:after="60"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Відтік молодих спеціалістів до міст та за кордон через відсутність житла, обмеженість кар’єрних перспектив та низький рівень оплати праці.</w:t>
      </w:r>
    </w:p>
    <w:p w:rsidR="00227FEF" w:rsidRDefault="00494B9D">
      <w:pPr>
        <w:pStyle w:val="2"/>
        <w:spacing w:before="120" w:after="120" w:line="276" w:lineRule="auto"/>
        <w:ind w:firstLine="708"/>
        <w:rPr>
          <w:rFonts w:ascii="Times New Roman" w:hAnsi="Times New Roman" w:cs="Times New Roman"/>
          <w:color w:val="000000"/>
        </w:rPr>
      </w:pPr>
      <w:r>
        <w:rPr>
          <w:rFonts w:ascii="Times New Roman" w:hAnsi="Times New Roman" w:cs="Times New Roman"/>
          <w:color w:val="000000"/>
        </w:rPr>
        <w:t>7. Медичне обслуговування та його вплив на трудовий потенціал</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 xml:space="preserve">На території громади функціонує мала кількість закладів, що надають первинну медичну допомогу. Це фельдшерсько-акушерські пункти (два) та амбулаторії загальної практики — сімейної медицини (шість). Для отримання спеціалізованої та стаціонарної допомоги </w:t>
      </w:r>
      <w:proofErr w:type="gramStart"/>
      <w:r>
        <w:rPr>
          <w:rFonts w:ascii="Times New Roman" w:eastAsia="Arial" w:hAnsi="Times New Roman"/>
          <w:sz w:val="28"/>
          <w:szCs w:val="28"/>
          <w:lang w:val="ru-RU"/>
        </w:rPr>
        <w:t>мешканці  звертаються</w:t>
      </w:r>
      <w:proofErr w:type="gramEnd"/>
      <w:r>
        <w:rPr>
          <w:rFonts w:ascii="Times New Roman" w:eastAsia="Arial" w:hAnsi="Times New Roman"/>
          <w:sz w:val="28"/>
          <w:szCs w:val="28"/>
          <w:lang w:val="ru-RU"/>
        </w:rPr>
        <w:t xml:space="preserve"> до закладів у Перечині та Ужгороді.</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Стан здоров’я населення безпосередньо впливає на трудовий потенціал громади. Серед ключових проблем медичного забезпечення, що позначаються на працездатності населення:</w:t>
      </w:r>
    </w:p>
    <w:p w:rsidR="00227FEF" w:rsidRDefault="00494B9D">
      <w:pPr>
        <w:pStyle w:val="ab"/>
        <w:numPr>
          <w:ilvl w:val="0"/>
          <w:numId w:val="4"/>
        </w:numPr>
        <w:spacing w:before="60" w:after="60" w:line="276" w:lineRule="auto"/>
        <w:jc w:val="both"/>
        <w:rPr>
          <w:rFonts w:ascii="Times New Roman" w:hAnsi="Times New Roman" w:cs="Times New Roman"/>
          <w:sz w:val="28"/>
          <w:szCs w:val="28"/>
        </w:rPr>
      </w:pPr>
      <w:r>
        <w:rPr>
          <w:rFonts w:ascii="Times New Roman" w:hAnsi="Times New Roman" w:cs="Times New Roman"/>
          <w:sz w:val="28"/>
          <w:szCs w:val="28"/>
        </w:rPr>
        <w:t>Недостатня укомплектованість медичних закладів  персоналом, що обмежує доступність медичної допомоги, особливо для мешканців віддалених сіл.</w:t>
      </w:r>
    </w:p>
    <w:p w:rsidR="00227FEF" w:rsidRDefault="00494B9D">
      <w:pPr>
        <w:pStyle w:val="ab"/>
        <w:numPr>
          <w:ilvl w:val="0"/>
          <w:numId w:val="4"/>
        </w:numPr>
        <w:spacing w:before="60" w:after="60" w:line="276" w:lineRule="auto"/>
        <w:jc w:val="both"/>
        <w:rPr>
          <w:rFonts w:ascii="Times New Roman" w:hAnsi="Times New Roman" w:cs="Times New Roman"/>
          <w:sz w:val="28"/>
          <w:szCs w:val="28"/>
        </w:rPr>
      </w:pPr>
      <w:r>
        <w:rPr>
          <w:rFonts w:ascii="Times New Roman" w:hAnsi="Times New Roman" w:cs="Times New Roman"/>
          <w:sz w:val="28"/>
          <w:szCs w:val="28"/>
        </w:rPr>
        <w:t>Значна відстань до закладів вторинної та третинної медичної допомоги (Перечин — 20–30 км, Ужгород — 50–70 км), ускладнена гірськими дорогами.</w:t>
      </w:r>
    </w:p>
    <w:p w:rsidR="00227FEF" w:rsidRDefault="00494B9D">
      <w:pPr>
        <w:pStyle w:val="ab"/>
        <w:numPr>
          <w:ilvl w:val="0"/>
          <w:numId w:val="4"/>
        </w:numPr>
        <w:spacing w:before="60" w:after="60" w:line="276" w:lineRule="auto"/>
        <w:jc w:val="both"/>
        <w:rPr>
          <w:rFonts w:ascii="Times New Roman" w:hAnsi="Times New Roman" w:cs="Times New Roman"/>
          <w:sz w:val="28"/>
          <w:szCs w:val="28"/>
        </w:rPr>
      </w:pPr>
      <w:r>
        <w:rPr>
          <w:rFonts w:ascii="Times New Roman" w:hAnsi="Times New Roman" w:cs="Times New Roman"/>
          <w:sz w:val="28"/>
          <w:szCs w:val="28"/>
        </w:rPr>
        <w:t>Обмежений доступ до профілактичних оглядів та раннього виявлення захворювань, що призводить до зростання захворюваності серед працездатного населення.</w:t>
      </w:r>
    </w:p>
    <w:p w:rsidR="00227FEF" w:rsidRPr="00F155F9" w:rsidRDefault="00494B9D" w:rsidP="00F155F9">
      <w:pPr>
        <w:pStyle w:val="ab"/>
        <w:numPr>
          <w:ilvl w:val="0"/>
          <w:numId w:val="4"/>
        </w:numPr>
        <w:spacing w:before="60" w:after="60" w:line="276" w:lineRule="auto"/>
        <w:jc w:val="both"/>
        <w:rPr>
          <w:rFonts w:ascii="Times New Roman" w:hAnsi="Times New Roman" w:cs="Times New Roman"/>
          <w:sz w:val="28"/>
          <w:szCs w:val="28"/>
        </w:rPr>
      </w:pPr>
      <w:r>
        <w:rPr>
          <w:rFonts w:ascii="Times New Roman" w:hAnsi="Times New Roman" w:cs="Times New Roman"/>
          <w:sz w:val="28"/>
          <w:szCs w:val="28"/>
        </w:rPr>
        <w:t>Високий рівень поширеності захворювань опорно-рухового апарату та серцево-судинної системи серед осіб, зайнятих у лісовому та сільському господарстві (важка фізична праця).</w:t>
      </w:r>
    </w:p>
    <w:p w:rsidR="00227FEF" w:rsidRDefault="00494B9D">
      <w:pPr>
        <w:pStyle w:val="2"/>
        <w:spacing w:before="120" w:after="120" w:line="276" w:lineRule="auto"/>
        <w:ind w:firstLine="708"/>
        <w:rPr>
          <w:rFonts w:ascii="Times New Roman" w:hAnsi="Times New Roman" w:cs="Times New Roman"/>
          <w:color w:val="000000"/>
        </w:rPr>
      </w:pPr>
      <w:r>
        <w:rPr>
          <w:rFonts w:ascii="Times New Roman" w:hAnsi="Times New Roman" w:cs="Times New Roman"/>
          <w:color w:val="000000"/>
        </w:rPr>
        <w:t>8. Розвиток вітроенергетики та її вплив на населення і трудові ресурси</w:t>
      </w:r>
    </w:p>
    <w:p w:rsidR="00227FEF" w:rsidRDefault="00494B9D">
      <w:pPr>
        <w:pStyle w:val="3"/>
        <w:spacing w:before="120" w:line="276" w:lineRule="auto"/>
        <w:ind w:firstLine="708"/>
        <w:rPr>
          <w:rFonts w:ascii="Times New Roman" w:hAnsi="Times New Roman" w:cs="Times New Roman"/>
          <w:color w:val="000000"/>
          <w:sz w:val="28"/>
          <w:szCs w:val="28"/>
        </w:rPr>
      </w:pPr>
      <w:r>
        <w:rPr>
          <w:rFonts w:ascii="Times New Roman" w:hAnsi="Times New Roman" w:cs="Times New Roman"/>
          <w:color w:val="000000"/>
          <w:sz w:val="28"/>
          <w:szCs w:val="28"/>
        </w:rPr>
        <w:t>8.1. Проєкт ВЕС «Полонина Руна»: загальна характеристика</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uk-UA"/>
        </w:rPr>
        <w:t xml:space="preserve">Одним з найбільш масштабних інвестиційних проєктів, що реалізується на території Тур’є-Реметівської громади, є будівництво вітрової електростанції (ВЕС) «Полонина Руна». </w:t>
      </w:r>
      <w:r>
        <w:rPr>
          <w:rFonts w:ascii="Times New Roman" w:eastAsia="Arial" w:hAnsi="Times New Roman"/>
          <w:sz w:val="28"/>
          <w:szCs w:val="28"/>
          <w:lang w:val="ru-RU"/>
        </w:rPr>
        <w:t>Проєкт передбачає встановлення 30 сучасних вітроенергетичних установок потужністю до 5,5 МВт кожна, із загальною встановленою потужністю понад 156 МВт. Прогнозований річний виробіток становитиме близько 480 ГВт·год електроенергії, що співмірно із потребами приблизно 235 тисяч домогосподарств.</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 xml:space="preserve">Замовником проєкту виступає ТОВ «Вітряний парк Турянський», що входить до групи компаній УК «Вітряні парки України» — підприємства з понад 12-річним досвідом на українському ринку вітроенергетики, яке у 2022 році було релоковане з Краматорська на Закарпаття. Будівництво здійснює ТОВ «Френдлі Віндтехнолоджі», </w:t>
      </w:r>
      <w:r>
        <w:rPr>
          <w:rFonts w:ascii="Times New Roman" w:eastAsia="Arial" w:hAnsi="Times New Roman"/>
          <w:sz w:val="28"/>
          <w:szCs w:val="28"/>
          <w:lang w:val="ru-RU"/>
        </w:rPr>
        <w:lastRenderedPageBreak/>
        <w:t>а фінансовим партнером проєкту виступає АТ «Ощадбанк». За оцінками ринку, обсяг інвестицій становить €170–220 млн.</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У лютому 2026 року Міністерство економіки, довкілля та сільського господарства надало позитивний висновок за результатами процедури оцінки впливу на довкілля (ОВД) щодо проєкту. Під час ухвалення рішення одночасно враховувалися чотири ключові вимоги: енергетична стійкість і безпека, інтереси громади, захист довкілля та правова визначеність. За результатами наукових досліджень полонини Руна чутливі природні ділянки були вилучені з проєкту, що стало прикладом відповідальної взаємодії науки, бізнесу та громади.</w:t>
      </w:r>
    </w:p>
    <w:p w:rsidR="00227FEF" w:rsidRDefault="00494B9D">
      <w:pPr>
        <w:spacing w:before="240" w:after="120"/>
        <w:jc w:val="center"/>
        <w:rPr>
          <w:rFonts w:ascii="Times New Roman" w:hAnsi="Times New Roman"/>
          <w:sz w:val="28"/>
          <w:szCs w:val="28"/>
          <w:lang w:val="ru-RU"/>
        </w:rPr>
      </w:pPr>
      <w:r>
        <w:rPr>
          <w:rFonts w:ascii="Times New Roman" w:eastAsia="Arial" w:hAnsi="Times New Roman"/>
          <w:b/>
          <w:bCs/>
          <w:sz w:val="28"/>
          <w:szCs w:val="28"/>
          <w:lang w:val="ru-RU"/>
        </w:rPr>
        <w:t>Таблиця 7.</w:t>
      </w:r>
      <w:r>
        <w:rPr>
          <w:rFonts w:ascii="Times New Roman" w:eastAsia="Arial" w:hAnsi="Times New Roman"/>
          <w:sz w:val="28"/>
          <w:szCs w:val="28"/>
          <w:lang w:val="ru-RU"/>
        </w:rPr>
        <w:t xml:space="preserve"> Основні параметри проєкту ВЕС «Полонина Руна»</w:t>
      </w:r>
    </w:p>
    <w:tbl>
      <w:tblPr>
        <w:tblW w:w="9360" w:type="dxa"/>
        <w:tblLayout w:type="fixed"/>
        <w:tblCellMar>
          <w:top w:w="60" w:type="dxa"/>
          <w:left w:w="100" w:type="dxa"/>
          <w:bottom w:w="60" w:type="dxa"/>
          <w:right w:w="100" w:type="dxa"/>
        </w:tblCellMar>
        <w:tblLook w:val="0000" w:firstRow="0" w:lastRow="0" w:firstColumn="0" w:lastColumn="0" w:noHBand="0" w:noVBand="0"/>
      </w:tblPr>
      <w:tblGrid>
        <w:gridCol w:w="4500"/>
        <w:gridCol w:w="4860"/>
      </w:tblGrid>
      <w:tr w:rsidR="00227FEF">
        <w:tc>
          <w:tcPr>
            <w:tcW w:w="45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t>Параметр</w:t>
            </w:r>
          </w:p>
        </w:tc>
        <w:tc>
          <w:tcPr>
            <w:tcW w:w="48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t>Значення</w:t>
            </w:r>
          </w:p>
        </w:tc>
      </w:tr>
      <w:tr w:rsidR="00227FEF">
        <w:tc>
          <w:tcPr>
            <w:tcW w:w="45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Назва проєкту</w:t>
            </w:r>
          </w:p>
        </w:tc>
        <w:tc>
          <w:tcPr>
            <w:tcW w:w="486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ВЕС «Полонина Руна»</w:t>
            </w:r>
          </w:p>
        </w:tc>
      </w:tr>
      <w:tr w:rsidR="00227FEF" w:rsidRPr="00F155F9">
        <w:tc>
          <w:tcPr>
            <w:tcW w:w="45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Замовник</w:t>
            </w:r>
          </w:p>
        </w:tc>
        <w:tc>
          <w:tcPr>
            <w:tcW w:w="486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lang w:val="ru-RU"/>
              </w:rPr>
            </w:pPr>
            <w:r>
              <w:rPr>
                <w:rFonts w:ascii="Times New Roman" w:eastAsia="Arial" w:hAnsi="Times New Roman"/>
                <w:color w:val="000000"/>
                <w:sz w:val="28"/>
                <w:szCs w:val="28"/>
                <w:lang w:val="ru-RU"/>
              </w:rPr>
              <w:t>ТОВ «Вітряний парк Турянський» / УК «Вітряні парки України»</w:t>
            </w:r>
          </w:p>
        </w:tc>
      </w:tr>
      <w:tr w:rsidR="00227FEF" w:rsidRPr="00F155F9">
        <w:tc>
          <w:tcPr>
            <w:tcW w:w="45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Розташування</w:t>
            </w:r>
          </w:p>
        </w:tc>
        <w:tc>
          <w:tcPr>
            <w:tcW w:w="486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lang w:val="ru-RU"/>
              </w:rPr>
            </w:pPr>
            <w:r>
              <w:rPr>
                <w:rFonts w:ascii="Times New Roman" w:eastAsia="Arial" w:hAnsi="Times New Roman"/>
                <w:color w:val="000000"/>
                <w:sz w:val="28"/>
                <w:szCs w:val="28"/>
                <w:lang w:val="ru-RU"/>
              </w:rPr>
              <w:t>Урочище Полонина Руна, Тур’є-Реметівська громада</w:t>
            </w:r>
          </w:p>
        </w:tc>
      </w:tr>
      <w:tr w:rsidR="00227FEF">
        <w:tc>
          <w:tcPr>
            <w:tcW w:w="45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Кількість вітротурбін</w:t>
            </w:r>
          </w:p>
        </w:tc>
        <w:tc>
          <w:tcPr>
            <w:tcW w:w="486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30 одиниць</w:t>
            </w:r>
          </w:p>
        </w:tc>
      </w:tr>
      <w:tr w:rsidR="00227FEF">
        <w:tc>
          <w:tcPr>
            <w:tcW w:w="45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Потужність однієї турбіни</w:t>
            </w:r>
          </w:p>
        </w:tc>
        <w:tc>
          <w:tcPr>
            <w:tcW w:w="486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до 5,5 МВт</w:t>
            </w:r>
          </w:p>
        </w:tc>
      </w:tr>
      <w:tr w:rsidR="00227FEF">
        <w:tc>
          <w:tcPr>
            <w:tcW w:w="45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Загальна потужність</w:t>
            </w:r>
          </w:p>
        </w:tc>
        <w:tc>
          <w:tcPr>
            <w:tcW w:w="486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156 МВт</w:t>
            </w:r>
          </w:p>
        </w:tc>
      </w:tr>
      <w:tr w:rsidR="00227FEF">
        <w:tc>
          <w:tcPr>
            <w:tcW w:w="45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Прогнозований річний виробіток</w:t>
            </w:r>
          </w:p>
        </w:tc>
        <w:tc>
          <w:tcPr>
            <w:tcW w:w="486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~480 ГВт·год</w:t>
            </w:r>
          </w:p>
        </w:tc>
      </w:tr>
      <w:tr w:rsidR="00227FEF">
        <w:tc>
          <w:tcPr>
            <w:tcW w:w="45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Забезпечення домогосподарств</w:t>
            </w:r>
          </w:p>
        </w:tc>
        <w:tc>
          <w:tcPr>
            <w:tcW w:w="486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понад 235 тис. домогосподарств</w:t>
            </w:r>
          </w:p>
        </w:tc>
      </w:tr>
      <w:tr w:rsidR="00227FEF">
        <w:tc>
          <w:tcPr>
            <w:tcW w:w="45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Орієнтовний обсяг інвестицій</w:t>
            </w:r>
          </w:p>
        </w:tc>
        <w:tc>
          <w:tcPr>
            <w:tcW w:w="486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€170–220 млн</w:t>
            </w:r>
          </w:p>
        </w:tc>
      </w:tr>
      <w:tr w:rsidR="00227FEF">
        <w:tc>
          <w:tcPr>
            <w:tcW w:w="45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Фінансовий партнер</w:t>
            </w:r>
          </w:p>
        </w:tc>
        <w:tc>
          <w:tcPr>
            <w:tcW w:w="486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АТ «Ощадбанк»</w:t>
            </w:r>
          </w:p>
        </w:tc>
      </w:tr>
      <w:tr w:rsidR="00227FEF" w:rsidRPr="00F155F9">
        <w:tc>
          <w:tcPr>
            <w:tcW w:w="45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b/>
                <w:bCs/>
                <w:color w:val="000000"/>
                <w:sz w:val="28"/>
                <w:szCs w:val="28"/>
                <w:lang w:val="ru-RU"/>
              </w:rPr>
              <w:t>Внесок до місцевого бюджету (вже сплачено)</w:t>
            </w:r>
          </w:p>
        </w:tc>
        <w:tc>
          <w:tcPr>
            <w:tcW w:w="486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lang w:val="ru-RU"/>
              </w:rPr>
            </w:pPr>
            <w:r>
              <w:rPr>
                <w:rFonts w:ascii="Times New Roman" w:eastAsia="Arial" w:hAnsi="Times New Roman"/>
                <w:color w:val="000000"/>
                <w:sz w:val="28"/>
                <w:szCs w:val="28"/>
                <w:lang w:val="ru-RU"/>
              </w:rPr>
              <w:t>~3 млн грн (станом на 2024 р.)</w:t>
            </w:r>
          </w:p>
        </w:tc>
      </w:tr>
      <w:tr w:rsidR="00227FEF">
        <w:tc>
          <w:tcPr>
            <w:tcW w:w="45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b/>
                <w:bCs/>
                <w:color w:val="000000"/>
                <w:sz w:val="28"/>
                <w:szCs w:val="28"/>
                <w:lang w:val="ru-RU"/>
              </w:rPr>
              <w:t>Прогнозовані щорічні відрахування (3 % від продажу е/е)</w:t>
            </w:r>
          </w:p>
        </w:tc>
        <w:tc>
          <w:tcPr>
            <w:tcW w:w="486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~50 млн грн/рік</w:t>
            </w:r>
          </w:p>
        </w:tc>
      </w:tr>
      <w:tr w:rsidR="00227FEF" w:rsidRPr="00F155F9">
        <w:tc>
          <w:tcPr>
            <w:tcW w:w="45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Статус ОВД</w:t>
            </w:r>
          </w:p>
        </w:tc>
        <w:tc>
          <w:tcPr>
            <w:tcW w:w="486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lang w:val="ru-RU"/>
              </w:rPr>
            </w:pPr>
            <w:r>
              <w:rPr>
                <w:rFonts w:ascii="Times New Roman" w:eastAsia="Arial" w:hAnsi="Times New Roman"/>
                <w:color w:val="000000"/>
                <w:sz w:val="28"/>
                <w:szCs w:val="28"/>
                <w:lang w:val="ru-RU"/>
              </w:rPr>
              <w:t>Позитивний висновок Мінекономіки (лютий 2026 р.)</w:t>
            </w:r>
          </w:p>
        </w:tc>
      </w:tr>
    </w:tbl>
    <w:p w:rsidR="00227FEF" w:rsidRDefault="00494B9D">
      <w:pPr>
        <w:pStyle w:val="3"/>
        <w:spacing w:before="120" w:line="276" w:lineRule="auto"/>
        <w:ind w:firstLine="708"/>
        <w:rPr>
          <w:rFonts w:ascii="Times New Roman" w:hAnsi="Times New Roman" w:cs="Times New Roman"/>
          <w:color w:val="000000"/>
          <w:sz w:val="28"/>
          <w:szCs w:val="28"/>
        </w:rPr>
      </w:pPr>
      <w:r>
        <w:rPr>
          <w:rFonts w:ascii="Times New Roman" w:hAnsi="Times New Roman" w:cs="Times New Roman"/>
          <w:color w:val="000000"/>
          <w:sz w:val="28"/>
          <w:szCs w:val="28"/>
        </w:rPr>
        <w:t>8.2. Стратегічне значення для енергетичної безпеки</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 xml:space="preserve">Проєкт ВЕС «Полонина Руна» є складовою державної стратегії розбудови децентралізованої генерації електроенергії. Після масованих російських ракетних </w:t>
      </w:r>
      <w:r>
        <w:rPr>
          <w:rFonts w:ascii="Times New Roman" w:eastAsia="Arial" w:hAnsi="Times New Roman"/>
          <w:sz w:val="28"/>
          <w:szCs w:val="28"/>
          <w:lang w:val="ru-RU"/>
        </w:rPr>
        <w:lastRenderedPageBreak/>
        <w:t>атак, внаслідок яких Україна втратила значну частину генеруючих потужностей, держава взяла курс на створення регіональних децентралізованих енергетичних систем, значно більш стійких до воєнних ризиків. Закарпаття при цьому має унікальний вітровий потенціал та стійку геологію, що забезпечує можливість стабільної й прогнозованої генерації.</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 xml:space="preserve">Крім того, Україна взяла на себе зобов’язання, що до 2030 року більше чверті всієї електроенергії в країні мають виробляти з відновлюваних джерел — це одне із зобов’язань </w:t>
      </w:r>
      <w:proofErr w:type="gramStart"/>
      <w:r>
        <w:rPr>
          <w:rFonts w:ascii="Times New Roman" w:eastAsia="Arial" w:hAnsi="Times New Roman"/>
          <w:sz w:val="28"/>
          <w:szCs w:val="28"/>
          <w:lang w:val="ru-RU"/>
        </w:rPr>
        <w:t>на шляху</w:t>
      </w:r>
      <w:proofErr w:type="gramEnd"/>
      <w:r>
        <w:rPr>
          <w:rFonts w:ascii="Times New Roman" w:eastAsia="Arial" w:hAnsi="Times New Roman"/>
          <w:sz w:val="28"/>
          <w:szCs w:val="28"/>
          <w:lang w:val="ru-RU"/>
        </w:rPr>
        <w:t xml:space="preserve"> євроінтеграції. Реалізація проєкту на території Тур’є-Реметівської громади робить внесок у виконання цього зобов’язання та формування безпечної регіональної енергетичної системи.</w:t>
      </w:r>
    </w:p>
    <w:p w:rsidR="00227FEF" w:rsidRDefault="00494B9D">
      <w:pPr>
        <w:pStyle w:val="3"/>
        <w:spacing w:before="120" w:line="276" w:lineRule="auto"/>
        <w:ind w:firstLine="708"/>
        <w:rPr>
          <w:rFonts w:ascii="Times New Roman" w:hAnsi="Times New Roman" w:cs="Times New Roman"/>
          <w:color w:val="000000"/>
          <w:sz w:val="28"/>
          <w:szCs w:val="28"/>
        </w:rPr>
      </w:pPr>
      <w:r>
        <w:rPr>
          <w:rFonts w:ascii="Times New Roman" w:hAnsi="Times New Roman" w:cs="Times New Roman"/>
          <w:color w:val="000000"/>
          <w:sz w:val="28"/>
          <w:szCs w:val="28"/>
        </w:rPr>
        <w:t>8.3. Позитивний вплив на населення та трудові ресурси громади</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Розвиток вітроенергетики на території громади має комплексний позитивний вплив на стан населення та трудових ресурсів за кількома ключовими напрямами.</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b/>
          <w:bCs/>
          <w:sz w:val="28"/>
          <w:szCs w:val="28"/>
          <w:lang w:val="ru-RU"/>
        </w:rPr>
        <w:t xml:space="preserve">Суттєве збільшення доходів місцевого бюджету. </w:t>
      </w:r>
      <w:r>
        <w:rPr>
          <w:rFonts w:ascii="Times New Roman" w:eastAsia="Arial" w:hAnsi="Times New Roman"/>
          <w:sz w:val="28"/>
          <w:szCs w:val="28"/>
          <w:lang w:val="ru-RU"/>
        </w:rPr>
        <w:t xml:space="preserve">Це ключовий позитивний ефект проєкту для громади. Вже на етапі підготовки будівництва компанія-забудовник сплатила до місцевого бюджету близько 3 мільйонів гривень. Після введення ВЕС в експлуатацію прогнозовані щорічні відрахування </w:t>
      </w:r>
      <w:proofErr w:type="gramStart"/>
      <w:r>
        <w:rPr>
          <w:rFonts w:ascii="Times New Roman" w:eastAsia="Arial" w:hAnsi="Times New Roman"/>
          <w:sz w:val="28"/>
          <w:szCs w:val="28"/>
          <w:lang w:val="ru-RU"/>
        </w:rPr>
        <w:t>до бюджету</w:t>
      </w:r>
      <w:proofErr w:type="gramEnd"/>
      <w:r>
        <w:rPr>
          <w:rFonts w:ascii="Times New Roman" w:eastAsia="Arial" w:hAnsi="Times New Roman"/>
          <w:sz w:val="28"/>
          <w:szCs w:val="28"/>
          <w:lang w:val="ru-RU"/>
        </w:rPr>
        <w:t xml:space="preserve"> громади за договором соціального партнерства (3 % від продажу електроенергії) становитимуть орієнтовно 50 мільйонів гривень на рік. Для порівняння: доходи загального фонду бюджету на 1 мешканця станом на </w:t>
      </w:r>
      <w:r>
        <w:rPr>
          <w:rFonts w:ascii="Times New Roman" w:eastAsia="Arial" w:hAnsi="Times New Roman"/>
          <w:sz w:val="28"/>
          <w:szCs w:val="28"/>
        </w:rPr>
        <w:t>I</w:t>
      </w:r>
      <w:r>
        <w:rPr>
          <w:rFonts w:ascii="Times New Roman" w:eastAsia="Arial" w:hAnsi="Times New Roman"/>
          <w:sz w:val="28"/>
          <w:szCs w:val="28"/>
          <w:lang w:val="ru-RU"/>
        </w:rPr>
        <w:t xml:space="preserve"> квартал 2021 року становили лише 386,6 грн, а загальні доходи бюджету громади у 2020 році — близько 14,8 млн грн. Таким чином, надходження від ВЕС мають потенціал кратно збільшити бюджет громади, що дасть можливість суттєво покращити якість надання базових послуг населенню — освіти, медицини, соціального захисту, інфраструктури.</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b/>
          <w:bCs/>
          <w:sz w:val="28"/>
          <w:szCs w:val="28"/>
          <w:lang w:val="ru-RU"/>
        </w:rPr>
        <w:t xml:space="preserve">Створення нових робочих місць. </w:t>
      </w:r>
      <w:r>
        <w:rPr>
          <w:rFonts w:ascii="Times New Roman" w:eastAsia="Arial" w:hAnsi="Times New Roman"/>
          <w:sz w:val="28"/>
          <w:szCs w:val="28"/>
          <w:lang w:val="ru-RU"/>
        </w:rPr>
        <w:t>Будівництво та подальша експлуатація ВЕС створюють нові робочі місця для місцевого населення. На етапі будівництва необхідні працівники будівельних спеціальностей, оператори техніки, логістичний персонал. На етапі експлуатації — технічні фахівці з обслуговування вітроагрегатів, електрики, інженери, охоронні та адміністративні працівники. Це диверсифікує структуру зайнятості громади, знижує залежність від сезонних робіт у лісовому та сільському господарстві та створює альтернативу трудовій міграції за кордон.</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b/>
          <w:bCs/>
          <w:sz w:val="28"/>
          <w:szCs w:val="28"/>
          <w:lang w:val="ru-RU"/>
        </w:rPr>
        <w:t xml:space="preserve">Зростання ділової активності та підприємництва. </w:t>
      </w:r>
      <w:r>
        <w:rPr>
          <w:rFonts w:ascii="Times New Roman" w:eastAsia="Arial" w:hAnsi="Times New Roman"/>
          <w:sz w:val="28"/>
          <w:szCs w:val="28"/>
          <w:lang w:val="ru-RU"/>
        </w:rPr>
        <w:t xml:space="preserve">Прихід великого інвестора стимулює розвиток суміжних галузей: транспортних послуг, громадського харчування, торгівлі, послуг із розміщення. Зростання доходів бюджету та населення </w:t>
      </w:r>
      <w:r>
        <w:rPr>
          <w:rFonts w:ascii="Times New Roman" w:eastAsia="Arial" w:hAnsi="Times New Roman"/>
          <w:sz w:val="28"/>
          <w:szCs w:val="28"/>
          <w:lang w:val="ru-RU"/>
        </w:rPr>
        <w:lastRenderedPageBreak/>
        <w:t>стимулює загальне підвищення ділової активності на території громади та створює мультиплікаторний ефект для місцевої економіки.</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b/>
          <w:bCs/>
          <w:sz w:val="28"/>
          <w:szCs w:val="28"/>
          <w:lang w:val="ru-RU"/>
        </w:rPr>
        <w:t xml:space="preserve">Модернізація інфраструктури. </w:t>
      </w:r>
      <w:r>
        <w:rPr>
          <w:rFonts w:ascii="Times New Roman" w:eastAsia="Arial" w:hAnsi="Times New Roman"/>
          <w:sz w:val="28"/>
          <w:szCs w:val="28"/>
          <w:lang w:val="ru-RU"/>
        </w:rPr>
        <w:t>Будівництво ВЕС передбачає модернізацію дорожньої інфраструктури для доставки обладнання, що позитивно впливатиме на транспортну доступність населених пунктів громади. Покращення дорожньої інфраструктури є одним із ключових факторів збереження населення у віддалених гірських селах.</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b/>
          <w:bCs/>
          <w:sz w:val="28"/>
          <w:szCs w:val="28"/>
          <w:lang w:val="ru-RU"/>
        </w:rPr>
        <w:t xml:space="preserve">Підвищення енергетичної стійкості та безпеки. </w:t>
      </w:r>
      <w:r>
        <w:rPr>
          <w:rFonts w:ascii="Times New Roman" w:eastAsia="Arial" w:hAnsi="Times New Roman"/>
          <w:sz w:val="28"/>
          <w:szCs w:val="28"/>
          <w:lang w:val="ru-RU"/>
        </w:rPr>
        <w:t>Наявність місцевого джерела генерації електроенергії підвищує енергетичну стійкість громади, зменшує ризики відключень електропостачання та покращує умови проживання для населення. В умовах війни це набуває критичного значення.</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b/>
          <w:bCs/>
          <w:sz w:val="28"/>
          <w:szCs w:val="28"/>
          <w:lang w:val="ru-RU"/>
        </w:rPr>
        <w:t xml:space="preserve">Стимулювання повернення та закріплення молоді. </w:t>
      </w:r>
      <w:r>
        <w:rPr>
          <w:rFonts w:ascii="Times New Roman" w:eastAsia="Arial" w:hAnsi="Times New Roman"/>
          <w:sz w:val="28"/>
          <w:szCs w:val="28"/>
          <w:lang w:val="ru-RU"/>
        </w:rPr>
        <w:t>Поява кваліфікованих робочих місць у сфері відновлюваної енергетики, збільшення доходів бюджету (що уможливлює фінансування соціальних програм, будівництва житла, покращення інфраструктури) створюють умови для повернення молоді в громаду та зменшення міграційного відтоку. Робота в енергетичному секторі пропонує стабільну зайнятість та конкурентну оплату праці, що є вагомою альтернативою трудовій міграції.</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b/>
          <w:bCs/>
          <w:sz w:val="28"/>
          <w:szCs w:val="28"/>
          <w:lang w:val="ru-RU"/>
        </w:rPr>
        <w:t xml:space="preserve">Формування позитивного іміджу громади. </w:t>
      </w:r>
      <w:r>
        <w:rPr>
          <w:rFonts w:ascii="Times New Roman" w:eastAsia="Arial" w:hAnsi="Times New Roman"/>
          <w:sz w:val="28"/>
          <w:szCs w:val="28"/>
          <w:lang w:val="ru-RU"/>
        </w:rPr>
        <w:t>Реалізація інноваційного енергетичного проєкту підвищує впізнаваність громади на національному рівні, залучає увагу інших інвесторів та міжнародних партнерів. Тур’є-Реметівська громада демонструє приклад для всієї держави, як можна поєднати взаємодію відповідального бізнесу і людей, які хочуть жити в європейській країні.</w:t>
      </w:r>
    </w:p>
    <w:p w:rsidR="00227FEF" w:rsidRDefault="00494B9D">
      <w:pPr>
        <w:pStyle w:val="3"/>
        <w:spacing w:before="120" w:line="276" w:lineRule="auto"/>
        <w:rPr>
          <w:rFonts w:ascii="Times New Roman" w:hAnsi="Times New Roman" w:cs="Times New Roman"/>
          <w:color w:val="000000"/>
          <w:sz w:val="28"/>
          <w:szCs w:val="28"/>
        </w:rPr>
      </w:pPr>
      <w:r>
        <w:rPr>
          <w:rFonts w:ascii="Times New Roman" w:hAnsi="Times New Roman" w:cs="Times New Roman"/>
          <w:color w:val="000000"/>
          <w:sz w:val="28"/>
          <w:szCs w:val="28"/>
        </w:rPr>
        <w:t>8.4. Синергія з туристичним потенціалом</w:t>
      </w:r>
    </w:p>
    <w:p w:rsidR="00227FEF" w:rsidRDefault="00494B9D">
      <w:pPr>
        <w:spacing w:before="120" w:after="120" w:line="276" w:lineRule="auto"/>
        <w:ind w:firstLine="708"/>
        <w:jc w:val="both"/>
        <w:rPr>
          <w:rFonts w:ascii="Times New Roman" w:hAnsi="Times New Roman"/>
          <w:sz w:val="28"/>
          <w:szCs w:val="28"/>
          <w:lang w:val="ru-RU"/>
        </w:rPr>
      </w:pPr>
      <w:r w:rsidRPr="005E48D4">
        <w:rPr>
          <w:rFonts w:ascii="Times New Roman" w:eastAsia="Arial" w:hAnsi="Times New Roman"/>
          <w:sz w:val="28"/>
          <w:szCs w:val="28"/>
          <w:lang w:val="uk-UA"/>
        </w:rPr>
        <w:t xml:space="preserve">Полонина Руна є однією з найбільших гірських пасовищ (понад 1 100 га) українських Карпат і популярною локацією для пішого туризму. </w:t>
      </w:r>
      <w:r>
        <w:rPr>
          <w:rFonts w:ascii="Times New Roman" w:eastAsia="Arial" w:hAnsi="Times New Roman"/>
          <w:sz w:val="28"/>
          <w:szCs w:val="28"/>
          <w:lang w:val="ru-RU"/>
        </w:rPr>
        <w:t xml:space="preserve">Її схили вкриті чорничниками: </w:t>
      </w:r>
      <w:proofErr w:type="gramStart"/>
      <w:r>
        <w:rPr>
          <w:rFonts w:ascii="Times New Roman" w:eastAsia="Arial" w:hAnsi="Times New Roman"/>
          <w:sz w:val="28"/>
          <w:szCs w:val="28"/>
          <w:lang w:val="ru-RU"/>
        </w:rPr>
        <w:t>у сезон</w:t>
      </w:r>
      <w:proofErr w:type="gramEnd"/>
      <w:r>
        <w:rPr>
          <w:rFonts w:ascii="Times New Roman" w:eastAsia="Arial" w:hAnsi="Times New Roman"/>
          <w:sz w:val="28"/>
          <w:szCs w:val="28"/>
          <w:lang w:val="ru-RU"/>
        </w:rPr>
        <w:t xml:space="preserve"> дозрівання тут масово збирають чорницю (місцева назва — «яфини»), що дає горянам суттєвий сезонний дохід. Проєкт ВЕС, за задумом його ініціаторів, має бути поєднаний з розвитком екотуризму. Полонина Руна має всі шанси стати прикладом того, як можливо поєднати екологічний туризм, захист довкілля та інноваційні технології. Вітрові турбіни на гірських хребтах можуть стати додатковою туристичною атракцією, як це практикується в багатьох країнах ЄС, де вітропарки органічно інтегровані в ландшафт та формують нові туристичні маршрути.</w:t>
      </w:r>
    </w:p>
    <w:p w:rsidR="00227FEF" w:rsidRDefault="00494B9D" w:rsidP="00F155F9">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 xml:space="preserve">У поєднанні з бальнеологічним курортом у Лумшорах та історико-промисловим маршрутом «Шляхами Турянської Долини», вітропарк на Полонині </w:t>
      </w:r>
      <w:r>
        <w:rPr>
          <w:rFonts w:ascii="Times New Roman" w:eastAsia="Arial" w:hAnsi="Times New Roman"/>
          <w:sz w:val="28"/>
          <w:szCs w:val="28"/>
          <w:lang w:val="ru-RU"/>
        </w:rPr>
        <w:lastRenderedPageBreak/>
        <w:t>Руна створює унікальний комплекс туристичних атракцій, що охоплює різні формати відпочинку: від оздоровчого та культурного до пізнавального й промислового. Це сприятиме подовженню тривалості перебування туристів та збільшенню обсягів туристичних витрат на території громади.</w:t>
      </w:r>
      <w:r w:rsidRPr="005E48D4">
        <w:rPr>
          <w:lang w:val="ru-RU"/>
        </w:rPr>
        <w:br w:type="page"/>
      </w:r>
    </w:p>
    <w:p w:rsidR="00227FEF" w:rsidRDefault="00494B9D">
      <w:pPr>
        <w:pStyle w:val="2"/>
        <w:spacing w:before="120" w:after="120" w:line="276" w:lineRule="auto"/>
        <w:ind w:firstLine="708"/>
        <w:rPr>
          <w:rFonts w:ascii="Times New Roman" w:hAnsi="Times New Roman" w:cs="Times New Roman"/>
          <w:color w:val="000000"/>
        </w:rPr>
      </w:pPr>
      <w:r>
        <w:rPr>
          <w:rFonts w:ascii="Times New Roman" w:hAnsi="Times New Roman" w:cs="Times New Roman"/>
          <w:color w:val="000000"/>
        </w:rPr>
        <w:lastRenderedPageBreak/>
        <w:t>9. SWOT-аналіз стану населення та трудових ресурсів</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 xml:space="preserve">На основі проведеного аналізу стану населення та трудових ресурсів громади складено </w:t>
      </w:r>
      <w:r>
        <w:rPr>
          <w:rFonts w:ascii="Times New Roman" w:eastAsia="Arial" w:hAnsi="Times New Roman"/>
          <w:sz w:val="28"/>
          <w:szCs w:val="28"/>
        </w:rPr>
        <w:t>SWOT</w:t>
      </w:r>
      <w:r>
        <w:rPr>
          <w:rFonts w:ascii="Times New Roman" w:eastAsia="Arial" w:hAnsi="Times New Roman"/>
          <w:sz w:val="28"/>
          <w:szCs w:val="28"/>
          <w:lang w:val="ru-RU"/>
        </w:rPr>
        <w:t>-матрицю, яка систематизує ключові фактори внутрішнього та зовнішнього середовища.</w:t>
      </w:r>
    </w:p>
    <w:p w:rsidR="00227FEF" w:rsidRDefault="00494B9D">
      <w:pPr>
        <w:spacing w:before="240" w:after="120"/>
        <w:jc w:val="center"/>
        <w:rPr>
          <w:rFonts w:ascii="Times New Roman" w:hAnsi="Times New Roman"/>
          <w:sz w:val="28"/>
          <w:szCs w:val="28"/>
          <w:lang w:val="ru-RU"/>
        </w:rPr>
      </w:pPr>
      <w:r>
        <w:rPr>
          <w:rFonts w:ascii="Times New Roman" w:eastAsia="Arial" w:hAnsi="Times New Roman"/>
          <w:b/>
          <w:bCs/>
          <w:sz w:val="28"/>
          <w:szCs w:val="28"/>
          <w:lang w:val="ru-RU"/>
        </w:rPr>
        <w:t>Таблиця 8.</w:t>
      </w:r>
      <w:r>
        <w:rPr>
          <w:rFonts w:ascii="Times New Roman" w:eastAsia="Arial" w:hAnsi="Times New Roman"/>
          <w:sz w:val="28"/>
          <w:szCs w:val="28"/>
          <w:lang w:val="ru-RU"/>
        </w:rPr>
        <w:t xml:space="preserve"> SWOT-аналіз стану населення та трудових ресурсів</w:t>
      </w:r>
    </w:p>
    <w:tbl>
      <w:tblPr>
        <w:tblW w:w="9360" w:type="dxa"/>
        <w:tblLayout w:type="fixed"/>
        <w:tblCellMar>
          <w:top w:w="60" w:type="dxa"/>
          <w:left w:w="100" w:type="dxa"/>
          <w:bottom w:w="60" w:type="dxa"/>
          <w:right w:w="100" w:type="dxa"/>
        </w:tblCellMar>
        <w:tblLook w:val="0000" w:firstRow="0" w:lastRow="0" w:firstColumn="0" w:lastColumn="0" w:noHBand="0" w:noVBand="0"/>
      </w:tblPr>
      <w:tblGrid>
        <w:gridCol w:w="4680"/>
        <w:gridCol w:w="4680"/>
      </w:tblGrid>
      <w:tr w:rsidR="00227FEF">
        <w:tc>
          <w:tcPr>
            <w:tcW w:w="46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t>СИЛЬНІ СТОРОНИ (S)</w:t>
            </w:r>
          </w:p>
        </w:tc>
        <w:tc>
          <w:tcPr>
            <w:tcW w:w="46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t>СЛАБКІ СТОРОНИ (W)</w:t>
            </w:r>
          </w:p>
        </w:tc>
      </w:tr>
      <w:tr w:rsidR="00227FEF" w:rsidRPr="00F155F9">
        <w:tc>
          <w:tcPr>
            <w:tcW w:w="46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Значний природно-рекреаційний потенціал (Лумшори, мінеральні джерела, гірські ландшафти)</w:t>
            </w:r>
          </w:p>
        </w:tc>
        <w:tc>
          <w:tcPr>
            <w:tcW w:w="46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Низька щільність населення та обезлюднення гірських сіл</w:t>
            </w:r>
          </w:p>
        </w:tc>
      </w:tr>
      <w:tr w:rsidR="00227FEF" w:rsidRPr="00F155F9">
        <w:tc>
          <w:tcPr>
            <w:tcW w:w="46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Молода вікова структура населення порівняно з іншими регіонами</w:t>
            </w:r>
          </w:p>
        </w:tc>
        <w:tc>
          <w:tcPr>
            <w:tcW w:w="46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Високий рівень трудової міграції за кордон</w:t>
            </w:r>
          </w:p>
        </w:tc>
      </w:tr>
      <w:tr w:rsidR="00227FEF">
        <w:tc>
          <w:tcPr>
            <w:tcW w:w="46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Наявність лісових ресурсів та традицій деревообробки</w:t>
            </w:r>
          </w:p>
        </w:tc>
        <w:tc>
          <w:tcPr>
            <w:tcW w:w="46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Обмеженість формальних робочих місць</w:t>
            </w:r>
          </w:p>
        </w:tc>
      </w:tr>
      <w:tr w:rsidR="00227FEF" w:rsidRPr="00F155F9">
        <w:tc>
          <w:tcPr>
            <w:tcW w:w="46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Близькість до кордону з ЄС (Словаччина, Угорщина)</w:t>
            </w:r>
          </w:p>
        </w:tc>
        <w:tc>
          <w:tcPr>
            <w:tcW w:w="46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Нестача кваліфікованих кадрів у медицині та освіті</w:t>
            </w:r>
          </w:p>
        </w:tc>
      </w:tr>
      <w:tr w:rsidR="00227FEF" w:rsidRPr="00F155F9">
        <w:tc>
          <w:tcPr>
            <w:tcW w:w="46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Збережені культурні традиції та етнографічна спільність</w:t>
            </w:r>
          </w:p>
        </w:tc>
        <w:tc>
          <w:tcPr>
            <w:tcW w:w="46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Складна транспортна доступність віддалених сіл</w:t>
            </w:r>
          </w:p>
        </w:tc>
      </w:tr>
      <w:tr w:rsidR="00227FEF" w:rsidRPr="00F155F9">
        <w:tc>
          <w:tcPr>
            <w:tcW w:w="46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Наявність мережі закладів ПМД (8 закладів)</w:t>
            </w:r>
          </w:p>
        </w:tc>
        <w:tc>
          <w:tcPr>
            <w:tcW w:w="46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Низькі доходи місцевого бюджету на 1 мешканця</w:t>
            </w:r>
          </w:p>
        </w:tc>
      </w:tr>
      <w:tr w:rsidR="00227FEF" w:rsidRPr="00F155F9">
        <w:tc>
          <w:tcPr>
            <w:tcW w:w="46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Реалізація проєкту ВЕС «Полонина Руна» (156 МВт, інвестиції €170–220 млн)</w:t>
            </w:r>
          </w:p>
        </w:tc>
        <w:tc>
          <w:tcPr>
            <w:tcW w:w="46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Залежність від сезонних робіт та неформальної зайнятості</w:t>
            </w:r>
          </w:p>
        </w:tc>
      </w:tr>
      <w:tr w:rsidR="00227FEF">
        <w:tc>
          <w:tcPr>
            <w:tcW w:w="46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t>МОЖЛИВОСТІ (O)</w:t>
            </w:r>
          </w:p>
        </w:tc>
        <w:tc>
          <w:tcPr>
            <w:tcW w:w="46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t>ЗАГРОЗИ (T)</w:t>
            </w:r>
          </w:p>
        </w:tc>
      </w:tr>
      <w:tr w:rsidR="00227FEF" w:rsidRPr="00F155F9">
        <w:tc>
          <w:tcPr>
            <w:tcW w:w="46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Розвиток бальнеологічного та зеленого туризму</w:t>
            </w:r>
          </w:p>
        </w:tc>
        <w:tc>
          <w:tcPr>
            <w:tcW w:w="46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Подальше скорочення населення через міграцію</w:t>
            </w:r>
          </w:p>
        </w:tc>
      </w:tr>
      <w:tr w:rsidR="00227FEF">
        <w:tc>
          <w:tcPr>
            <w:tcW w:w="46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Створення історико-промислового маршруту "Шляхами Турянської Долини"</w:t>
            </w:r>
          </w:p>
        </w:tc>
        <w:tc>
          <w:tcPr>
            <w:tcW w:w="46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Деградація малих населених пунктів</w:t>
            </w:r>
          </w:p>
        </w:tc>
      </w:tr>
      <w:tr w:rsidR="00227FEF" w:rsidRPr="00F155F9">
        <w:tc>
          <w:tcPr>
            <w:tcW w:w="46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Залучення міжнародної технічної допомоги та грантів ЄС</w:t>
            </w:r>
          </w:p>
        </w:tc>
        <w:tc>
          <w:tcPr>
            <w:tcW w:w="46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Зростання навантаження на соціальну інфраструктуру через старіння</w:t>
            </w:r>
          </w:p>
        </w:tc>
      </w:tr>
      <w:tr w:rsidR="00227FEF">
        <w:tc>
          <w:tcPr>
            <w:tcW w:w="46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Розвиток підприємництва у сфері переробки лісової та с/г продукції</w:t>
            </w:r>
          </w:p>
        </w:tc>
        <w:tc>
          <w:tcPr>
            <w:tcW w:w="46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Скорочення фінансування лісового господарства</w:t>
            </w:r>
          </w:p>
        </w:tc>
      </w:tr>
      <w:tr w:rsidR="00227FEF" w:rsidRPr="00F155F9">
        <w:tc>
          <w:tcPr>
            <w:tcW w:w="46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lastRenderedPageBreak/>
              <w:t>Прихід ВПО як джерело людського капіталу</w:t>
            </w:r>
          </w:p>
        </w:tc>
        <w:tc>
          <w:tcPr>
            <w:tcW w:w="46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Наслідки повномасштабної війни: мобілізація, економічна нестабільність</w:t>
            </w:r>
          </w:p>
        </w:tc>
      </w:tr>
      <w:tr w:rsidR="00227FEF" w:rsidRPr="00F155F9">
        <w:tc>
          <w:tcPr>
            <w:tcW w:w="46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Цифровізація та дистанційна зайнятість</w:t>
            </w:r>
          </w:p>
        </w:tc>
        <w:tc>
          <w:tcPr>
            <w:tcW w:w="46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Конкуренція за трудові ресурси з містами та країнами ЄС</w:t>
            </w:r>
          </w:p>
        </w:tc>
      </w:tr>
      <w:tr w:rsidR="00227FEF" w:rsidRPr="00F155F9">
        <w:tc>
          <w:tcPr>
            <w:tcW w:w="46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Розвиток вітроенергетики: ВЕС 156 МВт, ~50 млн грн/рік до бюджету</w:t>
            </w:r>
          </w:p>
        </w:tc>
        <w:tc>
          <w:tcPr>
            <w:tcW w:w="46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Екологічні ризики будівництва ВЕС на полонинах</w:t>
            </w:r>
          </w:p>
        </w:tc>
      </w:tr>
    </w:tbl>
    <w:p w:rsidR="00227FEF" w:rsidRDefault="00494B9D">
      <w:pPr>
        <w:pStyle w:val="2"/>
        <w:spacing w:before="120" w:after="120" w:line="276" w:lineRule="auto"/>
        <w:ind w:firstLine="708"/>
        <w:rPr>
          <w:rFonts w:ascii="Times New Roman" w:hAnsi="Times New Roman" w:cs="Times New Roman"/>
          <w:color w:val="000000"/>
        </w:rPr>
      </w:pPr>
      <w:r>
        <w:rPr>
          <w:rFonts w:ascii="Times New Roman" w:hAnsi="Times New Roman" w:cs="Times New Roman"/>
          <w:color w:val="000000"/>
        </w:rPr>
        <w:t>10. Ключові виклики та пріоритетні напрями дій</w:t>
      </w:r>
    </w:p>
    <w:p w:rsidR="00227FEF" w:rsidRDefault="00494B9D">
      <w:pPr>
        <w:pStyle w:val="3"/>
        <w:spacing w:before="120" w:line="276" w:lineRule="auto"/>
        <w:ind w:firstLine="708"/>
        <w:rPr>
          <w:rFonts w:ascii="Times New Roman" w:hAnsi="Times New Roman" w:cs="Times New Roman"/>
          <w:color w:val="000000"/>
          <w:sz w:val="28"/>
          <w:szCs w:val="28"/>
        </w:rPr>
      </w:pPr>
      <w:r>
        <w:rPr>
          <w:rFonts w:ascii="Times New Roman" w:hAnsi="Times New Roman" w:cs="Times New Roman"/>
          <w:color w:val="000000"/>
          <w:sz w:val="28"/>
          <w:szCs w:val="28"/>
        </w:rPr>
        <w:t>10.1. Систематизація ключових викликів</w:t>
      </w:r>
    </w:p>
    <w:p w:rsidR="00227FEF" w:rsidRDefault="00494B9D">
      <w:pPr>
        <w:spacing w:before="120" w:after="120" w:line="276" w:lineRule="auto"/>
        <w:ind w:firstLine="708"/>
        <w:jc w:val="both"/>
        <w:rPr>
          <w:rFonts w:ascii="Times New Roman" w:hAnsi="Times New Roman"/>
          <w:sz w:val="28"/>
          <w:szCs w:val="28"/>
          <w:lang w:val="uk-UA"/>
        </w:rPr>
      </w:pPr>
      <w:r>
        <w:rPr>
          <w:rFonts w:ascii="Times New Roman" w:eastAsia="Arial" w:hAnsi="Times New Roman"/>
          <w:sz w:val="28"/>
          <w:szCs w:val="28"/>
          <w:lang w:val="uk-UA"/>
        </w:rPr>
        <w:t>На основі комплексного аналізу характеристик населення та трудових ресурсів Тур’є-Реметівської територіальної громади виявлено такі ключові виклики:</w:t>
      </w:r>
    </w:p>
    <w:p w:rsidR="00227FEF" w:rsidRDefault="00494B9D">
      <w:pPr>
        <w:pStyle w:val="ab"/>
        <w:numPr>
          <w:ilvl w:val="0"/>
          <w:numId w:val="4"/>
        </w:numPr>
        <w:spacing w:before="60" w:after="60" w:line="276" w:lineRule="auto"/>
        <w:jc w:val="both"/>
        <w:rPr>
          <w:rFonts w:ascii="Times New Roman" w:hAnsi="Times New Roman" w:cs="Times New Roman"/>
          <w:sz w:val="28"/>
          <w:szCs w:val="28"/>
        </w:rPr>
      </w:pPr>
      <w:r>
        <w:rPr>
          <w:rFonts w:ascii="Times New Roman" w:hAnsi="Times New Roman" w:cs="Times New Roman"/>
          <w:sz w:val="28"/>
          <w:szCs w:val="28"/>
        </w:rPr>
        <w:t>Поступове зменшення чисельності населення внаслідок міграційного відтоку та зниження природного приросту — загроза подальшого обезлюднення малих гірських поселень.</w:t>
      </w:r>
    </w:p>
    <w:p w:rsidR="00227FEF" w:rsidRDefault="00494B9D">
      <w:pPr>
        <w:pStyle w:val="ab"/>
        <w:numPr>
          <w:ilvl w:val="0"/>
          <w:numId w:val="4"/>
        </w:numPr>
        <w:spacing w:before="60" w:after="60" w:line="276" w:lineRule="auto"/>
        <w:jc w:val="both"/>
        <w:rPr>
          <w:rFonts w:ascii="Times New Roman" w:hAnsi="Times New Roman" w:cs="Times New Roman"/>
          <w:sz w:val="28"/>
          <w:szCs w:val="28"/>
        </w:rPr>
      </w:pPr>
      <w:r>
        <w:rPr>
          <w:rFonts w:ascii="Times New Roman" w:hAnsi="Times New Roman" w:cs="Times New Roman"/>
          <w:sz w:val="28"/>
          <w:szCs w:val="28"/>
        </w:rPr>
        <w:t>Нерівномірність розселення: концентрація понад 87 % населення у 6 найбільших селах при критичному скороченні мешканців у малих гірських поселеннях (Лікіцари — 54 особи, Лумшори — 84 особи).</w:t>
      </w:r>
    </w:p>
    <w:p w:rsidR="00227FEF" w:rsidRDefault="00494B9D">
      <w:pPr>
        <w:pStyle w:val="ab"/>
        <w:numPr>
          <w:ilvl w:val="0"/>
          <w:numId w:val="4"/>
        </w:numPr>
        <w:spacing w:before="60" w:after="60" w:line="276" w:lineRule="auto"/>
        <w:jc w:val="both"/>
        <w:rPr>
          <w:rFonts w:ascii="Times New Roman" w:hAnsi="Times New Roman" w:cs="Times New Roman"/>
          <w:sz w:val="28"/>
          <w:szCs w:val="28"/>
        </w:rPr>
      </w:pPr>
      <w:r>
        <w:rPr>
          <w:rFonts w:ascii="Times New Roman" w:hAnsi="Times New Roman" w:cs="Times New Roman"/>
          <w:sz w:val="28"/>
          <w:szCs w:val="28"/>
        </w:rPr>
        <w:t>Високий рівень трудової міграції за кордон та до міст, що спричиняє дефіцит кваліфікованих кадрів на місцевому ринку праці, «вимивання» людського капіталу та руйнування соціальної тканини сіл.</w:t>
      </w:r>
    </w:p>
    <w:p w:rsidR="00227FEF" w:rsidRDefault="00494B9D">
      <w:pPr>
        <w:pStyle w:val="ab"/>
        <w:numPr>
          <w:ilvl w:val="0"/>
          <w:numId w:val="4"/>
        </w:numPr>
        <w:spacing w:before="60" w:after="60" w:line="276" w:lineRule="auto"/>
        <w:jc w:val="both"/>
        <w:rPr>
          <w:rFonts w:ascii="Times New Roman" w:hAnsi="Times New Roman" w:cs="Times New Roman"/>
          <w:sz w:val="28"/>
          <w:szCs w:val="28"/>
        </w:rPr>
      </w:pPr>
      <w:r>
        <w:rPr>
          <w:rFonts w:ascii="Times New Roman" w:hAnsi="Times New Roman" w:cs="Times New Roman"/>
          <w:sz w:val="28"/>
          <w:szCs w:val="28"/>
        </w:rPr>
        <w:t>Обмеженість формальних робочих місць та переважання самозайнятості, сезонних робіт та неформальної зайнятості, що не забезпечує стабільних доходів та соціального захисту.</w:t>
      </w:r>
    </w:p>
    <w:p w:rsidR="00227FEF" w:rsidRDefault="00494B9D">
      <w:pPr>
        <w:pStyle w:val="ab"/>
        <w:numPr>
          <w:ilvl w:val="0"/>
          <w:numId w:val="4"/>
        </w:numPr>
        <w:spacing w:before="60" w:after="60" w:line="276" w:lineRule="auto"/>
        <w:jc w:val="both"/>
        <w:rPr>
          <w:rFonts w:ascii="Times New Roman" w:hAnsi="Times New Roman" w:cs="Times New Roman"/>
          <w:sz w:val="28"/>
          <w:szCs w:val="28"/>
        </w:rPr>
      </w:pPr>
      <w:r>
        <w:rPr>
          <w:rFonts w:ascii="Times New Roman" w:hAnsi="Times New Roman" w:cs="Times New Roman"/>
          <w:sz w:val="28"/>
          <w:szCs w:val="28"/>
        </w:rPr>
        <w:t>Старіння населення у віддалених населених пунктах та зростання демографічного навантаження на соціальну інфраструктуру і бюджет громади.</w:t>
      </w:r>
    </w:p>
    <w:p w:rsidR="00227FEF" w:rsidRDefault="00494B9D">
      <w:pPr>
        <w:pStyle w:val="ab"/>
        <w:numPr>
          <w:ilvl w:val="0"/>
          <w:numId w:val="4"/>
        </w:numPr>
        <w:spacing w:before="60" w:after="60" w:line="276" w:lineRule="auto"/>
        <w:jc w:val="both"/>
        <w:rPr>
          <w:rFonts w:ascii="Times New Roman" w:hAnsi="Times New Roman" w:cs="Times New Roman"/>
          <w:sz w:val="28"/>
          <w:szCs w:val="28"/>
        </w:rPr>
      </w:pPr>
      <w:r>
        <w:rPr>
          <w:rFonts w:ascii="Times New Roman" w:hAnsi="Times New Roman" w:cs="Times New Roman"/>
          <w:sz w:val="28"/>
          <w:szCs w:val="28"/>
        </w:rPr>
        <w:t>Вплив повномасштабної війни: мобілізація чоловіків працездатного віку поглибила кадровий дефіцит; потреба в інтеграції ВПО створює додаткове навантаження на інфраструктуру.</w:t>
      </w:r>
    </w:p>
    <w:p w:rsidR="00227FEF" w:rsidRDefault="00494B9D">
      <w:pPr>
        <w:pStyle w:val="ab"/>
        <w:numPr>
          <w:ilvl w:val="0"/>
          <w:numId w:val="4"/>
        </w:numPr>
        <w:spacing w:before="60" w:after="60" w:line="276" w:lineRule="auto"/>
        <w:jc w:val="both"/>
        <w:rPr>
          <w:rFonts w:ascii="Times New Roman" w:hAnsi="Times New Roman" w:cs="Times New Roman"/>
          <w:sz w:val="28"/>
          <w:szCs w:val="28"/>
        </w:rPr>
      </w:pPr>
      <w:r>
        <w:rPr>
          <w:rFonts w:ascii="Times New Roman" w:hAnsi="Times New Roman" w:cs="Times New Roman"/>
          <w:sz w:val="28"/>
          <w:szCs w:val="28"/>
        </w:rPr>
        <w:t>Низький рівень доходів місцевого бюджету на 1 мешканця (386,6 грн — I кв. 2021 року), що обмежує можливості для інвестицій у розвиток.</w:t>
      </w:r>
    </w:p>
    <w:p w:rsidR="00227FEF" w:rsidRDefault="00494B9D">
      <w:pPr>
        <w:pStyle w:val="ab"/>
        <w:numPr>
          <w:ilvl w:val="0"/>
          <w:numId w:val="4"/>
        </w:numPr>
        <w:spacing w:before="60" w:after="60" w:line="276" w:lineRule="auto"/>
        <w:jc w:val="both"/>
        <w:rPr>
          <w:rFonts w:ascii="Times New Roman" w:hAnsi="Times New Roman" w:cs="Times New Roman"/>
          <w:sz w:val="28"/>
          <w:szCs w:val="28"/>
        </w:rPr>
      </w:pPr>
      <w:r>
        <w:rPr>
          <w:rFonts w:ascii="Times New Roman" w:hAnsi="Times New Roman" w:cs="Times New Roman"/>
          <w:sz w:val="28"/>
          <w:szCs w:val="28"/>
        </w:rPr>
        <w:t>Складна транспортна доступність віддалених сіл, особливо в зимовий період, що ускладнює надання послуг та знижує привабливість території для проживання.</w:t>
      </w:r>
    </w:p>
    <w:p w:rsidR="00F155F9" w:rsidRDefault="00F155F9" w:rsidP="00F155F9">
      <w:pPr>
        <w:pStyle w:val="ab"/>
        <w:spacing w:before="60" w:after="60" w:line="276" w:lineRule="auto"/>
        <w:ind w:left="720"/>
        <w:jc w:val="both"/>
        <w:rPr>
          <w:rFonts w:ascii="Times New Roman" w:hAnsi="Times New Roman" w:cs="Times New Roman"/>
          <w:sz w:val="28"/>
          <w:szCs w:val="28"/>
        </w:rPr>
      </w:pPr>
    </w:p>
    <w:p w:rsidR="00227FEF" w:rsidRDefault="00494B9D">
      <w:pPr>
        <w:pStyle w:val="3"/>
        <w:spacing w:before="120" w:line="276" w:lineRule="auto"/>
        <w:ind w:firstLine="708"/>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10.2. Пріоритетні напрями дій</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Для подолання зазначених викликів стратегія розвитку громади має передбачати комплекс заходів за такими напрямами:</w:t>
      </w:r>
    </w:p>
    <w:p w:rsidR="00227FEF" w:rsidRDefault="00494B9D">
      <w:pPr>
        <w:pStyle w:val="ab"/>
        <w:numPr>
          <w:ilvl w:val="0"/>
          <w:numId w:val="21"/>
        </w:numPr>
        <w:spacing w:before="80" w:after="80" w:line="276" w:lineRule="auto"/>
        <w:jc w:val="both"/>
        <w:rPr>
          <w:rFonts w:ascii="Times New Roman" w:hAnsi="Times New Roman" w:cs="Times New Roman"/>
          <w:sz w:val="28"/>
          <w:szCs w:val="28"/>
        </w:rPr>
      </w:pPr>
      <w:r>
        <w:rPr>
          <w:rFonts w:ascii="Times New Roman" w:hAnsi="Times New Roman" w:cs="Times New Roman"/>
          <w:b/>
          <w:bCs/>
          <w:sz w:val="28"/>
          <w:szCs w:val="28"/>
        </w:rPr>
        <w:t>Розвиток туристично-рекреаційного потенціалу</w:t>
      </w:r>
      <w:r>
        <w:rPr>
          <w:rFonts w:ascii="Times New Roman" w:hAnsi="Times New Roman" w:cs="Times New Roman"/>
          <w:sz w:val="28"/>
          <w:szCs w:val="28"/>
        </w:rPr>
        <w:t xml:space="preserve"> — системний розвиток бальнеологічного курорту в Лумшорах, створення мережі садиб зеленого туризму, промоція історико-промислового маршруту «Шляхами Турянської Долини», залучення інвестицій в туристичну інфраструктуру. Це створить нові робочі місця та альтернативні джерела доходів для населення.</w:t>
      </w:r>
    </w:p>
    <w:p w:rsidR="00227FEF" w:rsidRDefault="00494B9D">
      <w:pPr>
        <w:pStyle w:val="ab"/>
        <w:numPr>
          <w:ilvl w:val="0"/>
          <w:numId w:val="16"/>
        </w:numPr>
        <w:spacing w:before="80" w:after="80" w:line="276" w:lineRule="auto"/>
        <w:jc w:val="both"/>
        <w:rPr>
          <w:rFonts w:ascii="Times New Roman" w:hAnsi="Times New Roman" w:cs="Times New Roman"/>
          <w:sz w:val="28"/>
          <w:szCs w:val="28"/>
        </w:rPr>
      </w:pPr>
      <w:r>
        <w:rPr>
          <w:rFonts w:ascii="Times New Roman" w:hAnsi="Times New Roman" w:cs="Times New Roman"/>
          <w:b/>
          <w:bCs/>
          <w:sz w:val="28"/>
          <w:szCs w:val="28"/>
        </w:rPr>
        <w:t>Підтримка малого та мікропідприємництва</w:t>
      </w:r>
      <w:r>
        <w:rPr>
          <w:rFonts w:ascii="Times New Roman" w:hAnsi="Times New Roman" w:cs="Times New Roman"/>
          <w:sz w:val="28"/>
          <w:szCs w:val="28"/>
        </w:rPr>
        <w:t xml:space="preserve"> — надання мікрогрантів та пільгових кредитів для створення малих підприємств у сферах переробки лісової та сільськогосподарської продукції, сільського туризму, ремесел та народних промислів. Сприяння формалізації зайнятості ФОП.</w:t>
      </w:r>
    </w:p>
    <w:p w:rsidR="00227FEF" w:rsidRDefault="00494B9D">
      <w:pPr>
        <w:pStyle w:val="ab"/>
        <w:numPr>
          <w:ilvl w:val="0"/>
          <w:numId w:val="16"/>
        </w:numPr>
        <w:spacing w:before="80" w:after="80" w:line="276" w:lineRule="auto"/>
        <w:jc w:val="both"/>
        <w:rPr>
          <w:rFonts w:ascii="Times New Roman" w:hAnsi="Times New Roman" w:cs="Times New Roman"/>
          <w:sz w:val="28"/>
          <w:szCs w:val="28"/>
        </w:rPr>
      </w:pPr>
      <w:r>
        <w:rPr>
          <w:rFonts w:ascii="Times New Roman" w:hAnsi="Times New Roman" w:cs="Times New Roman"/>
          <w:b/>
          <w:bCs/>
          <w:sz w:val="28"/>
          <w:szCs w:val="28"/>
        </w:rPr>
        <w:t>Покращення транспортної доступності</w:t>
      </w:r>
      <w:r>
        <w:rPr>
          <w:rFonts w:ascii="Times New Roman" w:hAnsi="Times New Roman" w:cs="Times New Roman"/>
          <w:sz w:val="28"/>
          <w:szCs w:val="28"/>
        </w:rPr>
        <w:t xml:space="preserve"> — ремонт та утримання доріг до віддалених населених пунктів, організація регулярного транспортного сполучення, що сприятиме збереженню населення малих сіл та підвищенню туристичної привабливості.</w:t>
      </w:r>
    </w:p>
    <w:p w:rsidR="00227FEF" w:rsidRDefault="00494B9D">
      <w:pPr>
        <w:pStyle w:val="ab"/>
        <w:numPr>
          <w:ilvl w:val="0"/>
          <w:numId w:val="16"/>
        </w:numPr>
        <w:spacing w:before="80" w:after="80" w:line="276" w:lineRule="auto"/>
        <w:jc w:val="both"/>
        <w:rPr>
          <w:rFonts w:ascii="Times New Roman" w:hAnsi="Times New Roman" w:cs="Times New Roman"/>
          <w:sz w:val="28"/>
          <w:szCs w:val="28"/>
        </w:rPr>
      </w:pPr>
      <w:r>
        <w:rPr>
          <w:rFonts w:ascii="Times New Roman" w:hAnsi="Times New Roman" w:cs="Times New Roman"/>
          <w:b/>
          <w:bCs/>
          <w:sz w:val="28"/>
          <w:szCs w:val="28"/>
        </w:rPr>
        <w:t>Підтримка молодих сімей та стимулювання повернення молоді</w:t>
      </w:r>
      <w:r>
        <w:rPr>
          <w:rFonts w:ascii="Times New Roman" w:hAnsi="Times New Roman" w:cs="Times New Roman"/>
          <w:sz w:val="28"/>
          <w:szCs w:val="28"/>
        </w:rPr>
        <w:t xml:space="preserve"> — програми забезпечення житлом, земельні ділянки для будівництва, компенсація комунальних послуг, створення комфортних умов для дистанційної зайнятості (Інтернет-покриття, коворкінг-простори).</w:t>
      </w:r>
    </w:p>
    <w:p w:rsidR="00227FEF" w:rsidRDefault="00494B9D">
      <w:pPr>
        <w:pStyle w:val="ab"/>
        <w:numPr>
          <w:ilvl w:val="0"/>
          <w:numId w:val="16"/>
        </w:numPr>
        <w:spacing w:before="80" w:after="80" w:line="276" w:lineRule="auto"/>
        <w:jc w:val="both"/>
        <w:rPr>
          <w:rFonts w:ascii="Times New Roman" w:hAnsi="Times New Roman" w:cs="Times New Roman"/>
          <w:sz w:val="28"/>
          <w:szCs w:val="28"/>
        </w:rPr>
      </w:pPr>
      <w:r>
        <w:rPr>
          <w:rFonts w:ascii="Times New Roman" w:hAnsi="Times New Roman" w:cs="Times New Roman"/>
          <w:b/>
          <w:bCs/>
          <w:sz w:val="28"/>
          <w:szCs w:val="28"/>
        </w:rPr>
        <w:t>Зміцнення кадрового потенціалу соціальної сфери</w:t>
      </w:r>
      <w:r>
        <w:rPr>
          <w:rFonts w:ascii="Times New Roman" w:hAnsi="Times New Roman" w:cs="Times New Roman"/>
          <w:sz w:val="28"/>
          <w:szCs w:val="28"/>
        </w:rPr>
        <w:t xml:space="preserve"> — програми залучення лікарів та педагогів (службове житло, підйомні виплати), розвиток телемедицини, мобільні медичні бригади, дистанційне навчання для малокомплектних шкіл.</w:t>
      </w:r>
    </w:p>
    <w:p w:rsidR="00227FEF" w:rsidRDefault="00494B9D">
      <w:pPr>
        <w:pStyle w:val="ab"/>
        <w:numPr>
          <w:ilvl w:val="0"/>
          <w:numId w:val="16"/>
        </w:numPr>
        <w:spacing w:before="80" w:after="80" w:line="276" w:lineRule="auto"/>
        <w:jc w:val="both"/>
        <w:rPr>
          <w:rFonts w:ascii="Times New Roman" w:hAnsi="Times New Roman" w:cs="Times New Roman"/>
          <w:sz w:val="28"/>
          <w:szCs w:val="28"/>
        </w:rPr>
      </w:pPr>
      <w:r>
        <w:rPr>
          <w:rFonts w:ascii="Times New Roman" w:hAnsi="Times New Roman" w:cs="Times New Roman"/>
          <w:b/>
          <w:bCs/>
          <w:sz w:val="28"/>
          <w:szCs w:val="28"/>
        </w:rPr>
        <w:t>Залучення міжнародної технічної допомоги та грантів ЄС</w:t>
      </w:r>
      <w:r>
        <w:rPr>
          <w:rFonts w:ascii="Times New Roman" w:hAnsi="Times New Roman" w:cs="Times New Roman"/>
          <w:sz w:val="28"/>
          <w:szCs w:val="28"/>
        </w:rPr>
        <w:t xml:space="preserve"> — використання переваг прикордонного розташування для участі в програмах транскордонного співробітництва з Словаччиною та Угорщиною, залучення коштів на проєкти розвитку інфраструктури, підприємництва та людського капіталу.</w:t>
      </w:r>
    </w:p>
    <w:p w:rsidR="00227FEF" w:rsidRDefault="00494B9D">
      <w:pPr>
        <w:pStyle w:val="ab"/>
        <w:numPr>
          <w:ilvl w:val="0"/>
          <w:numId w:val="16"/>
        </w:numPr>
        <w:spacing w:before="80" w:after="80" w:line="276" w:lineRule="auto"/>
        <w:jc w:val="both"/>
        <w:rPr>
          <w:rFonts w:ascii="Times New Roman" w:hAnsi="Times New Roman" w:cs="Times New Roman"/>
          <w:sz w:val="28"/>
          <w:szCs w:val="28"/>
        </w:rPr>
      </w:pPr>
      <w:r>
        <w:rPr>
          <w:rFonts w:ascii="Times New Roman" w:hAnsi="Times New Roman" w:cs="Times New Roman"/>
          <w:b/>
          <w:bCs/>
          <w:sz w:val="28"/>
          <w:szCs w:val="28"/>
        </w:rPr>
        <w:t>Цифровізація та розвиток дистанційної зайнятості</w:t>
      </w:r>
      <w:r>
        <w:rPr>
          <w:rFonts w:ascii="Times New Roman" w:hAnsi="Times New Roman" w:cs="Times New Roman"/>
          <w:sz w:val="28"/>
          <w:szCs w:val="28"/>
        </w:rPr>
        <w:t xml:space="preserve"> — забезпечення якісним Інтернет-покриттям усіх населених пунктів, створення умов для віддаленої роботи, що дозволить мешканцям працювати на роботодавців з міст та інших країн, не залишаючи громаду.</w:t>
      </w:r>
    </w:p>
    <w:p w:rsidR="00227FEF" w:rsidRPr="00F155F9" w:rsidRDefault="00494B9D" w:rsidP="00F155F9">
      <w:pPr>
        <w:pStyle w:val="ab"/>
        <w:numPr>
          <w:ilvl w:val="0"/>
          <w:numId w:val="16"/>
        </w:numPr>
        <w:spacing w:before="80" w:after="80" w:line="276" w:lineRule="auto"/>
        <w:jc w:val="both"/>
        <w:rPr>
          <w:rFonts w:ascii="Times New Roman" w:hAnsi="Times New Roman" w:cs="Times New Roman"/>
          <w:sz w:val="28"/>
          <w:szCs w:val="28"/>
        </w:rPr>
      </w:pPr>
      <w:r>
        <w:rPr>
          <w:rFonts w:ascii="Times New Roman" w:hAnsi="Times New Roman" w:cs="Times New Roman"/>
          <w:b/>
          <w:bCs/>
          <w:sz w:val="28"/>
          <w:szCs w:val="28"/>
        </w:rPr>
        <w:t>Інтеграція внутрішньо переміщених осіб</w:t>
      </w:r>
      <w:r>
        <w:rPr>
          <w:rFonts w:ascii="Times New Roman" w:hAnsi="Times New Roman" w:cs="Times New Roman"/>
          <w:sz w:val="28"/>
          <w:szCs w:val="28"/>
        </w:rPr>
        <w:t xml:space="preserve"> — створення умов для постійного проживання та працевлаштування ВПО, використання їхнього професійного потенціалу для заповнення кадрових прогалин у громаді.</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lastRenderedPageBreak/>
        <w:t>Реалізація зазначених пріоритетів потребує консолідації зусиль органів місцевого самоврядування, районної та обласної влади, бізнесу, громадських організацій та міжнародних партнерів. Особливу увагу слід приділити розвитку рекреаційного та бальнеологічного потенціалу Лумшор та інших природних ресурсів Турянської долини, що може стати потужним драйвером соціально-економічного розвитку всієї громади, створити нові робочі місця та зменшити міграційний відтік населення.</w:t>
      </w:r>
    </w:p>
    <w:p w:rsidR="00227FEF" w:rsidRDefault="00494B9D">
      <w:pPr>
        <w:pStyle w:val="2"/>
        <w:spacing w:before="120" w:after="120" w:line="276" w:lineRule="auto"/>
        <w:ind w:firstLine="708"/>
        <w:rPr>
          <w:rFonts w:ascii="Times New Roman" w:hAnsi="Times New Roman" w:cs="Times New Roman"/>
          <w:color w:val="000000"/>
        </w:rPr>
      </w:pPr>
      <w:r>
        <w:rPr>
          <w:rFonts w:ascii="Times New Roman" w:hAnsi="Times New Roman" w:cs="Times New Roman"/>
          <w:color w:val="000000"/>
        </w:rPr>
        <w:t>11. Соціальна політика, підтримка ветеранів та інклюзія</w:t>
      </w:r>
    </w:p>
    <w:p w:rsidR="00227FEF" w:rsidRPr="005E48D4" w:rsidRDefault="00494B9D">
      <w:pPr>
        <w:spacing w:before="120" w:after="120" w:line="276" w:lineRule="auto"/>
        <w:ind w:firstLine="708"/>
        <w:jc w:val="both"/>
        <w:rPr>
          <w:rFonts w:ascii="Times New Roman" w:hAnsi="Times New Roman"/>
          <w:sz w:val="28"/>
          <w:szCs w:val="28"/>
          <w:lang w:val="uk-UA"/>
        </w:rPr>
      </w:pPr>
      <w:r w:rsidRPr="005E48D4">
        <w:rPr>
          <w:rFonts w:ascii="Times New Roman" w:eastAsia="Arial" w:hAnsi="Times New Roman"/>
          <w:sz w:val="28"/>
          <w:szCs w:val="28"/>
          <w:lang w:val="uk-UA"/>
        </w:rPr>
        <w:t>Поряд із розвитком інфраструктури та економіки окремим пріоритетом Стратегії є соціальна політика, орієнтована на підтримку ветеранів війни та членів їхніх родин, розвиток соціального підприємництва як інструменту зайнятості вразливих груп населення, а також забезпечення інтеграції національних меншин, насамперед ромського населення. Ці напрями узгоджуються з оперативною ціллю 1.7 «Зміцнення громадянського суспільства, соціальної сфери та соціальної включеності» Стратегії розвитку Закарпатської області на період 2021–2027 років.</w:t>
      </w:r>
    </w:p>
    <w:p w:rsidR="00227FEF" w:rsidRDefault="00494B9D">
      <w:pPr>
        <w:pStyle w:val="3"/>
        <w:spacing w:before="120" w:line="276" w:lineRule="auto"/>
        <w:ind w:firstLine="708"/>
        <w:rPr>
          <w:rFonts w:ascii="Times New Roman" w:hAnsi="Times New Roman" w:cs="Times New Roman"/>
          <w:color w:val="000000"/>
          <w:sz w:val="28"/>
          <w:szCs w:val="28"/>
        </w:rPr>
      </w:pPr>
      <w:r>
        <w:rPr>
          <w:rFonts w:ascii="Times New Roman" w:hAnsi="Times New Roman" w:cs="Times New Roman"/>
          <w:color w:val="000000"/>
          <w:sz w:val="28"/>
          <w:szCs w:val="28"/>
        </w:rPr>
        <w:t>11.1. Ветеранська політика у громаді</w:t>
      </w:r>
    </w:p>
    <w:p w:rsidR="00227FEF" w:rsidRPr="005E48D4" w:rsidRDefault="00494B9D">
      <w:pPr>
        <w:spacing w:before="120" w:after="120" w:line="276" w:lineRule="auto"/>
        <w:ind w:firstLine="708"/>
        <w:jc w:val="both"/>
        <w:rPr>
          <w:rFonts w:ascii="Times New Roman" w:hAnsi="Times New Roman"/>
          <w:sz w:val="28"/>
          <w:szCs w:val="28"/>
          <w:lang w:val="ru-RU"/>
        </w:rPr>
      </w:pPr>
      <w:r w:rsidRPr="005E48D4">
        <w:rPr>
          <w:rFonts w:ascii="Times New Roman" w:eastAsia="Arial" w:hAnsi="Times New Roman"/>
          <w:sz w:val="28"/>
          <w:szCs w:val="28"/>
          <w:lang w:val="ru-RU"/>
        </w:rPr>
        <w:t>Повномасштабна війна суттєво підвищила значення ветеранської політики на рівні громади. До захисту держави долучилася значна частина чоловіків працездатного віку Тур’є-Реметівської громади; поступово зростає кількість ветеранів війни, демобілізованих військовослужбовців, осіб з інвалідністю внаслідок війни, а також членів сімей загиблих (померлих) Захисників і Захисниць. Створення для них дієвої системи підтримки на місцевому рівні є безумовним пріоритетом громади.</w:t>
      </w:r>
    </w:p>
    <w:p w:rsidR="00227FEF" w:rsidRPr="005E48D4" w:rsidRDefault="00494B9D">
      <w:pPr>
        <w:spacing w:before="120" w:after="120" w:line="276" w:lineRule="auto"/>
        <w:ind w:firstLine="708"/>
        <w:jc w:val="both"/>
        <w:rPr>
          <w:rFonts w:ascii="Times New Roman" w:hAnsi="Times New Roman"/>
          <w:sz w:val="28"/>
          <w:szCs w:val="28"/>
          <w:lang w:val="ru-RU"/>
        </w:rPr>
      </w:pPr>
      <w:r w:rsidRPr="005E48D4">
        <w:rPr>
          <w:rFonts w:ascii="Times New Roman" w:eastAsia="Arial" w:hAnsi="Times New Roman"/>
          <w:sz w:val="28"/>
          <w:szCs w:val="28"/>
          <w:lang w:val="ru-RU"/>
        </w:rPr>
        <w:t>На сьогодні у громаді закладено базові елементи ветеранської політики. У приміщенні Центру надання адміністративних послуг працює фахівець із супроводу ветеранів війни та демобілізованих осіб, який забезпечує індивідуальний супровід (кейс-менеджмент) у вирішенні питань соціального захисту, медичної реабілітації, психологічної підтримки, працевлаштування та оформлення пільг. Громада взаємодіє з Відділом з питань ветеранської політики Ужгородської районної військової адміністрації та профільними державними інституціями.</w:t>
      </w:r>
    </w:p>
    <w:p w:rsidR="00227FEF" w:rsidRPr="005E48D4" w:rsidRDefault="00494B9D">
      <w:pPr>
        <w:spacing w:before="120" w:after="120" w:line="276" w:lineRule="auto"/>
        <w:ind w:firstLine="708"/>
        <w:jc w:val="both"/>
        <w:rPr>
          <w:rFonts w:ascii="Times New Roman" w:hAnsi="Times New Roman"/>
          <w:sz w:val="28"/>
          <w:szCs w:val="28"/>
          <w:lang w:val="ru-RU"/>
        </w:rPr>
      </w:pPr>
      <w:r w:rsidRPr="005E48D4">
        <w:rPr>
          <w:rFonts w:ascii="Times New Roman" w:eastAsia="Arial" w:hAnsi="Times New Roman"/>
          <w:sz w:val="28"/>
          <w:szCs w:val="28"/>
          <w:lang w:val="ru-RU"/>
        </w:rPr>
        <w:t xml:space="preserve">Водночас наявних інструментів недостатньо. Серед ключових проблем: відсутність єдиного простору, де ветеран і його родина можуть отримати весь комплекс послуг «в одному вікні»; обмежений доступ до психологічної реабілітації; потреба у сприянні працевлаштуванню та започаткуванню власної справи; </w:t>
      </w:r>
      <w:r w:rsidRPr="005E48D4">
        <w:rPr>
          <w:rFonts w:ascii="Times New Roman" w:eastAsia="Arial" w:hAnsi="Times New Roman"/>
          <w:sz w:val="28"/>
          <w:szCs w:val="28"/>
          <w:lang w:val="ru-RU"/>
        </w:rPr>
        <w:lastRenderedPageBreak/>
        <w:t>недостатня адаптація публічних просторів до потреб осіб з інвалідністю внаслідок війни; необхідність увічнення пам’яті загиблих Захисників громади.</w:t>
      </w:r>
    </w:p>
    <w:p w:rsidR="00227FEF" w:rsidRPr="005E48D4" w:rsidRDefault="00494B9D">
      <w:pPr>
        <w:spacing w:before="120" w:after="120" w:line="276" w:lineRule="auto"/>
        <w:ind w:firstLine="708"/>
        <w:jc w:val="both"/>
        <w:rPr>
          <w:rFonts w:ascii="Times New Roman" w:hAnsi="Times New Roman"/>
          <w:sz w:val="28"/>
          <w:szCs w:val="28"/>
          <w:lang w:val="ru-RU"/>
        </w:rPr>
      </w:pPr>
      <w:r w:rsidRPr="005E48D4">
        <w:rPr>
          <w:rFonts w:ascii="Times New Roman" w:eastAsia="Arial" w:hAnsi="Times New Roman"/>
          <w:sz w:val="28"/>
          <w:szCs w:val="28"/>
          <w:lang w:val="ru-RU"/>
        </w:rPr>
        <w:t>Пріоритетними напрямами ветеранської політики громади на період до 2027 року визначено:</w:t>
      </w:r>
    </w:p>
    <w:p w:rsidR="00227FEF" w:rsidRPr="005E48D4" w:rsidRDefault="00494B9D">
      <w:pPr>
        <w:spacing w:before="120" w:after="120" w:line="276" w:lineRule="auto"/>
        <w:ind w:firstLine="708"/>
        <w:jc w:val="both"/>
        <w:rPr>
          <w:rFonts w:ascii="Times New Roman" w:hAnsi="Times New Roman"/>
          <w:sz w:val="28"/>
          <w:szCs w:val="28"/>
          <w:lang w:val="ru-RU"/>
        </w:rPr>
      </w:pPr>
      <w:r w:rsidRPr="005E48D4">
        <w:rPr>
          <w:rFonts w:ascii="Times New Roman" w:eastAsia="Arial" w:hAnsi="Times New Roman"/>
          <w:sz w:val="28"/>
          <w:szCs w:val="28"/>
          <w:lang w:val="ru-RU"/>
        </w:rPr>
        <w:t>— створення Ветеранського простору (хабу) як єдиного центру послуг та комунікації для ветеранів і членів їхніх родин;</w:t>
      </w:r>
    </w:p>
    <w:p w:rsidR="00227FEF" w:rsidRPr="005E48D4" w:rsidRDefault="00494B9D">
      <w:pPr>
        <w:spacing w:before="120" w:after="120" w:line="276" w:lineRule="auto"/>
        <w:ind w:firstLine="708"/>
        <w:jc w:val="both"/>
        <w:rPr>
          <w:rFonts w:ascii="Times New Roman" w:hAnsi="Times New Roman"/>
          <w:sz w:val="28"/>
          <w:szCs w:val="28"/>
          <w:lang w:val="ru-RU"/>
        </w:rPr>
      </w:pPr>
      <w:r w:rsidRPr="005E48D4">
        <w:rPr>
          <w:rFonts w:ascii="Times New Roman" w:eastAsia="Arial" w:hAnsi="Times New Roman"/>
          <w:sz w:val="28"/>
          <w:szCs w:val="28"/>
          <w:lang w:val="ru-RU"/>
        </w:rPr>
        <w:t>— розвиток послуг фізичної, психологічної та соціальної реабілітації з використанням унікального бальнеологічного потенціалу громади (мінеральні сірководневі джерела та чани с. Лумшори) для відновлення військовослужбовців і цивільних, що постраждали від війни;</w:t>
      </w:r>
    </w:p>
    <w:p w:rsidR="00227FEF" w:rsidRPr="005E48D4" w:rsidRDefault="00494B9D">
      <w:pPr>
        <w:spacing w:before="120" w:after="120" w:line="276" w:lineRule="auto"/>
        <w:ind w:firstLine="708"/>
        <w:jc w:val="both"/>
        <w:rPr>
          <w:rFonts w:ascii="Times New Roman" w:hAnsi="Times New Roman"/>
          <w:sz w:val="28"/>
          <w:szCs w:val="28"/>
          <w:lang w:val="ru-RU"/>
        </w:rPr>
      </w:pPr>
      <w:r w:rsidRPr="005E48D4">
        <w:rPr>
          <w:rFonts w:ascii="Times New Roman" w:eastAsia="Arial" w:hAnsi="Times New Roman"/>
          <w:sz w:val="28"/>
          <w:szCs w:val="28"/>
          <w:lang w:val="ru-RU"/>
        </w:rPr>
        <w:t>— сприяння зайнятості ветеранів: професійна перепідготовка, підтримка ветеранського підприємництва, надання мікрогрантів та консультацій, зокрема через державні програми;</w:t>
      </w:r>
    </w:p>
    <w:p w:rsidR="00227FEF" w:rsidRPr="005E48D4" w:rsidRDefault="00494B9D">
      <w:pPr>
        <w:spacing w:before="120" w:after="120" w:line="276" w:lineRule="auto"/>
        <w:ind w:firstLine="708"/>
        <w:jc w:val="both"/>
        <w:rPr>
          <w:rFonts w:ascii="Times New Roman" w:hAnsi="Times New Roman"/>
          <w:sz w:val="28"/>
          <w:szCs w:val="28"/>
          <w:lang w:val="ru-RU"/>
        </w:rPr>
      </w:pPr>
      <w:r w:rsidRPr="005E48D4">
        <w:rPr>
          <w:rFonts w:ascii="Times New Roman" w:eastAsia="Arial" w:hAnsi="Times New Roman"/>
          <w:sz w:val="28"/>
          <w:szCs w:val="28"/>
          <w:lang w:val="ru-RU"/>
        </w:rPr>
        <w:t>— забезпечення безбар’єрності публічних будівель, закладів освіти, культури та охорони здоров’я;</w:t>
      </w:r>
    </w:p>
    <w:p w:rsidR="00227FEF" w:rsidRPr="005E48D4" w:rsidRDefault="00494B9D">
      <w:pPr>
        <w:spacing w:before="120" w:after="120" w:line="276" w:lineRule="auto"/>
        <w:ind w:firstLine="708"/>
        <w:jc w:val="both"/>
        <w:rPr>
          <w:rFonts w:ascii="Times New Roman" w:hAnsi="Times New Roman"/>
          <w:sz w:val="28"/>
          <w:szCs w:val="28"/>
          <w:lang w:val="ru-RU"/>
        </w:rPr>
      </w:pPr>
      <w:r w:rsidRPr="005E48D4">
        <w:rPr>
          <w:rFonts w:ascii="Times New Roman" w:eastAsia="Arial" w:hAnsi="Times New Roman"/>
          <w:sz w:val="28"/>
          <w:szCs w:val="28"/>
          <w:lang w:val="ru-RU"/>
        </w:rPr>
        <w:t>— реалізація заходів із вшанування пам’яті загиблих, національно-патріотичного виховання та формування шанобливого ставлення громади до Захисників і Захисниць;</w:t>
      </w:r>
    </w:p>
    <w:p w:rsidR="00227FEF" w:rsidRPr="005E48D4" w:rsidRDefault="00494B9D">
      <w:pPr>
        <w:spacing w:before="120" w:after="120" w:line="276" w:lineRule="auto"/>
        <w:ind w:firstLine="708"/>
        <w:jc w:val="both"/>
        <w:rPr>
          <w:rFonts w:ascii="Times New Roman" w:hAnsi="Times New Roman"/>
          <w:sz w:val="28"/>
          <w:szCs w:val="28"/>
          <w:lang w:val="ru-RU"/>
        </w:rPr>
      </w:pPr>
      <w:r w:rsidRPr="005E48D4">
        <w:rPr>
          <w:rFonts w:ascii="Times New Roman" w:eastAsia="Arial" w:hAnsi="Times New Roman"/>
          <w:sz w:val="28"/>
          <w:szCs w:val="28"/>
          <w:lang w:val="ru-RU"/>
        </w:rPr>
        <w:t>— залучення грантових коштів державних програм і міжнародної технічної допомоги (зокрема програм транскордонного співробітництва) на створення ветеранської інфраструктури.</w:t>
      </w:r>
    </w:p>
    <w:p w:rsidR="00227FEF" w:rsidRPr="005E48D4" w:rsidRDefault="00494B9D">
      <w:pPr>
        <w:spacing w:before="120" w:after="120" w:line="276" w:lineRule="auto"/>
        <w:ind w:firstLine="708"/>
        <w:jc w:val="both"/>
        <w:rPr>
          <w:rFonts w:ascii="Times New Roman" w:hAnsi="Times New Roman"/>
          <w:sz w:val="28"/>
          <w:szCs w:val="28"/>
          <w:lang w:val="ru-RU"/>
        </w:rPr>
      </w:pPr>
      <w:r w:rsidRPr="005E48D4">
        <w:rPr>
          <w:rFonts w:ascii="Times New Roman" w:eastAsia="Arial" w:hAnsi="Times New Roman"/>
          <w:sz w:val="28"/>
          <w:szCs w:val="28"/>
          <w:lang w:val="ru-RU"/>
        </w:rPr>
        <w:t>Системна ветеранська політика сприятиме успішній реінтеграції Захисників у мирне життя, використанню їхнього лідерського та професійного потенціалу для розвитку громади, а також зміцненню соціальної згуртованості.</w:t>
      </w:r>
    </w:p>
    <w:p w:rsidR="00227FEF" w:rsidRDefault="00494B9D">
      <w:pPr>
        <w:pStyle w:val="3"/>
        <w:spacing w:before="120" w:line="276" w:lineRule="auto"/>
        <w:ind w:firstLine="708"/>
        <w:rPr>
          <w:rFonts w:ascii="Times New Roman" w:hAnsi="Times New Roman" w:cs="Times New Roman"/>
          <w:color w:val="000000"/>
          <w:sz w:val="28"/>
          <w:szCs w:val="28"/>
        </w:rPr>
      </w:pPr>
      <w:r>
        <w:rPr>
          <w:rFonts w:ascii="Times New Roman" w:hAnsi="Times New Roman" w:cs="Times New Roman"/>
          <w:color w:val="000000"/>
          <w:sz w:val="28"/>
          <w:szCs w:val="28"/>
        </w:rPr>
        <w:t>11.2. Розвиток соціального підприємництва</w:t>
      </w:r>
    </w:p>
    <w:p w:rsidR="00227FEF" w:rsidRPr="005E48D4" w:rsidRDefault="00494B9D">
      <w:pPr>
        <w:spacing w:before="120" w:after="120" w:line="276" w:lineRule="auto"/>
        <w:ind w:firstLine="708"/>
        <w:jc w:val="both"/>
        <w:rPr>
          <w:rFonts w:ascii="Times New Roman" w:hAnsi="Times New Roman"/>
          <w:sz w:val="28"/>
          <w:szCs w:val="28"/>
          <w:lang w:val="uk-UA"/>
        </w:rPr>
      </w:pPr>
      <w:r w:rsidRPr="005E48D4">
        <w:rPr>
          <w:rFonts w:ascii="Times New Roman" w:eastAsia="Arial" w:hAnsi="Times New Roman"/>
          <w:sz w:val="28"/>
          <w:szCs w:val="28"/>
          <w:lang w:val="uk-UA"/>
        </w:rPr>
        <w:t>Соціальне підприємництво — це підприємницька діяльність, спрямована не лише на отримання прибутку, а насамперед на розв’язання соціальних проблем громади: створення робочих місць для вразливих груп населення, надання суспільно корисних послуг та реінвестування прибутку в соціальні цілі. Для Тур’є-Реметівської громади, що має обмежений ринок праці та значну частку вразливих категорій населення (ветерани, особи з інвалідністю, внутрішньо переміщені особи, члени багатодітних і малозабезпечених родин, представники ромської громади), цей інструмент має особливе значення.</w:t>
      </w:r>
    </w:p>
    <w:p w:rsidR="00227FEF" w:rsidRPr="005E48D4" w:rsidRDefault="00494B9D">
      <w:pPr>
        <w:spacing w:before="120" w:after="120" w:line="276" w:lineRule="auto"/>
        <w:ind w:firstLine="708"/>
        <w:jc w:val="both"/>
        <w:rPr>
          <w:rFonts w:ascii="Times New Roman" w:hAnsi="Times New Roman"/>
          <w:sz w:val="28"/>
          <w:szCs w:val="28"/>
          <w:lang w:val="uk-UA"/>
        </w:rPr>
      </w:pPr>
      <w:r w:rsidRPr="005E48D4">
        <w:rPr>
          <w:rFonts w:ascii="Times New Roman" w:eastAsia="Arial" w:hAnsi="Times New Roman"/>
          <w:sz w:val="28"/>
          <w:szCs w:val="28"/>
          <w:lang w:val="uk-UA"/>
        </w:rPr>
        <w:lastRenderedPageBreak/>
        <w:t>Громада володіє ресурсною базою для розвитку соціального підприємництва: місцева сировина (лісові ягоди, гриби, лікарські трави, продукція тваринництва), народні промисли та ремесла, туристично-рекреаційний потенціал Лумшор і Турянської долини. На цій основі можуть створюватися соціальні підприємства у сферах переробки та крафтового виробництва (сироварні, цехи сушіння та консервації ягід і грибів), зеленого та інклюзивного туризму, народних ремесел, а також побутових і соціальних послуг для людей похилого віку та осіб з інвалідністю.</w:t>
      </w:r>
    </w:p>
    <w:p w:rsidR="00227FEF" w:rsidRPr="005E48D4" w:rsidRDefault="00494B9D">
      <w:pPr>
        <w:spacing w:before="120" w:after="120" w:line="276" w:lineRule="auto"/>
        <w:ind w:firstLine="708"/>
        <w:jc w:val="both"/>
        <w:rPr>
          <w:rFonts w:ascii="Times New Roman" w:hAnsi="Times New Roman"/>
          <w:sz w:val="28"/>
          <w:szCs w:val="28"/>
          <w:lang w:val="ru-RU"/>
        </w:rPr>
      </w:pPr>
      <w:r w:rsidRPr="005E48D4">
        <w:rPr>
          <w:rFonts w:ascii="Times New Roman" w:eastAsia="Arial" w:hAnsi="Times New Roman"/>
          <w:sz w:val="28"/>
          <w:szCs w:val="28"/>
          <w:lang w:val="ru-RU"/>
        </w:rPr>
        <w:t>Пріоритетними напрямами підтримки соціального підприємництва є:</w:t>
      </w:r>
    </w:p>
    <w:p w:rsidR="00227FEF" w:rsidRPr="005E48D4" w:rsidRDefault="00494B9D">
      <w:pPr>
        <w:spacing w:before="120" w:after="120" w:line="276" w:lineRule="auto"/>
        <w:ind w:firstLine="708"/>
        <w:jc w:val="both"/>
        <w:rPr>
          <w:rFonts w:ascii="Times New Roman" w:hAnsi="Times New Roman"/>
          <w:sz w:val="28"/>
          <w:szCs w:val="28"/>
          <w:lang w:val="ru-RU"/>
        </w:rPr>
      </w:pPr>
      <w:r w:rsidRPr="005E48D4">
        <w:rPr>
          <w:rFonts w:ascii="Times New Roman" w:eastAsia="Arial" w:hAnsi="Times New Roman"/>
          <w:sz w:val="28"/>
          <w:szCs w:val="28"/>
          <w:lang w:val="ru-RU"/>
        </w:rPr>
        <w:t>— інформаційно-консультаційний супровід та навчання основам ведення соціального бізнесу й підготовки грантових заявок;</w:t>
      </w:r>
    </w:p>
    <w:p w:rsidR="00227FEF" w:rsidRPr="005E48D4" w:rsidRDefault="00494B9D">
      <w:pPr>
        <w:spacing w:before="120" w:after="120" w:line="276" w:lineRule="auto"/>
        <w:ind w:firstLine="708"/>
        <w:jc w:val="both"/>
        <w:rPr>
          <w:rFonts w:ascii="Times New Roman" w:hAnsi="Times New Roman"/>
          <w:sz w:val="28"/>
          <w:szCs w:val="28"/>
          <w:lang w:val="ru-RU"/>
        </w:rPr>
      </w:pPr>
      <w:r w:rsidRPr="005E48D4">
        <w:rPr>
          <w:rFonts w:ascii="Times New Roman" w:eastAsia="Arial" w:hAnsi="Times New Roman"/>
          <w:sz w:val="28"/>
          <w:szCs w:val="28"/>
          <w:lang w:val="ru-RU"/>
        </w:rPr>
        <w:t>— сприяння доступу до стартового капіталу через мікрогранти, державні програми (зокрема «єРобота») та кошти міжнародної технічної допомоги;</w:t>
      </w:r>
    </w:p>
    <w:p w:rsidR="00227FEF" w:rsidRPr="005E48D4" w:rsidRDefault="00494B9D">
      <w:pPr>
        <w:spacing w:before="120" w:after="120" w:line="276" w:lineRule="auto"/>
        <w:ind w:firstLine="708"/>
        <w:jc w:val="both"/>
        <w:rPr>
          <w:rFonts w:ascii="Times New Roman" w:hAnsi="Times New Roman"/>
          <w:sz w:val="28"/>
          <w:szCs w:val="28"/>
          <w:lang w:val="ru-RU"/>
        </w:rPr>
      </w:pPr>
      <w:r w:rsidRPr="005E48D4">
        <w:rPr>
          <w:rFonts w:ascii="Times New Roman" w:eastAsia="Arial" w:hAnsi="Times New Roman"/>
          <w:sz w:val="28"/>
          <w:szCs w:val="28"/>
          <w:lang w:val="ru-RU"/>
        </w:rPr>
        <w:t>— надання у користування комунальних приміщень або земельних ділянок для соціальних підприємств на пільгових умовах;</w:t>
      </w:r>
    </w:p>
    <w:p w:rsidR="00227FEF" w:rsidRPr="005E48D4" w:rsidRDefault="00494B9D">
      <w:pPr>
        <w:spacing w:before="120" w:after="120" w:line="276" w:lineRule="auto"/>
        <w:ind w:firstLine="708"/>
        <w:jc w:val="both"/>
        <w:rPr>
          <w:rFonts w:ascii="Times New Roman" w:hAnsi="Times New Roman"/>
          <w:sz w:val="28"/>
          <w:szCs w:val="28"/>
          <w:lang w:val="ru-RU"/>
        </w:rPr>
      </w:pPr>
      <w:r w:rsidRPr="005E48D4">
        <w:rPr>
          <w:rFonts w:ascii="Times New Roman" w:eastAsia="Arial" w:hAnsi="Times New Roman"/>
          <w:sz w:val="28"/>
          <w:szCs w:val="28"/>
          <w:lang w:val="ru-RU"/>
        </w:rPr>
        <w:t>— пріоритетне залучення до соціального підприємництва ветеранів, внутрішньо переміщених осіб та представників інших вразливих груп;</w:t>
      </w:r>
    </w:p>
    <w:p w:rsidR="00227FEF" w:rsidRPr="005E48D4" w:rsidRDefault="00494B9D">
      <w:pPr>
        <w:spacing w:before="120" w:after="120" w:line="276" w:lineRule="auto"/>
        <w:ind w:firstLine="708"/>
        <w:jc w:val="both"/>
        <w:rPr>
          <w:rFonts w:ascii="Times New Roman" w:hAnsi="Times New Roman"/>
          <w:sz w:val="28"/>
          <w:szCs w:val="28"/>
          <w:lang w:val="ru-RU"/>
        </w:rPr>
      </w:pPr>
      <w:r w:rsidRPr="005E48D4">
        <w:rPr>
          <w:rFonts w:ascii="Times New Roman" w:eastAsia="Arial" w:hAnsi="Times New Roman"/>
          <w:sz w:val="28"/>
          <w:szCs w:val="28"/>
          <w:lang w:val="ru-RU"/>
        </w:rPr>
        <w:t>— популяризація успішних місцевих прикладів і формування партнерств «громада — бізнес — громадські організації».</w:t>
      </w:r>
    </w:p>
    <w:p w:rsidR="00227FEF" w:rsidRPr="005E48D4" w:rsidRDefault="00494B9D">
      <w:pPr>
        <w:spacing w:before="120" w:after="120" w:line="276" w:lineRule="auto"/>
        <w:ind w:firstLine="708"/>
        <w:jc w:val="both"/>
        <w:rPr>
          <w:rFonts w:ascii="Times New Roman" w:hAnsi="Times New Roman"/>
          <w:sz w:val="28"/>
          <w:szCs w:val="28"/>
          <w:lang w:val="ru-RU"/>
        </w:rPr>
      </w:pPr>
      <w:r w:rsidRPr="005E48D4">
        <w:rPr>
          <w:rFonts w:ascii="Times New Roman" w:eastAsia="Arial" w:hAnsi="Times New Roman"/>
          <w:sz w:val="28"/>
          <w:szCs w:val="28"/>
          <w:lang w:val="ru-RU"/>
        </w:rPr>
        <w:t xml:space="preserve">Розвиток соціального підприємництва дозволить одночасно вирішувати два завдання — створювати робочі місця та надавати соціальні послуги, зменшуючи навантаження на бюджет громади, а також залишати додану вартість від місцевих ресурсів </w:t>
      </w:r>
      <w:proofErr w:type="gramStart"/>
      <w:r w:rsidRPr="005E48D4">
        <w:rPr>
          <w:rFonts w:ascii="Times New Roman" w:eastAsia="Arial" w:hAnsi="Times New Roman"/>
          <w:sz w:val="28"/>
          <w:szCs w:val="28"/>
          <w:lang w:val="ru-RU"/>
        </w:rPr>
        <w:t>у межах</w:t>
      </w:r>
      <w:proofErr w:type="gramEnd"/>
      <w:r w:rsidRPr="005E48D4">
        <w:rPr>
          <w:rFonts w:ascii="Times New Roman" w:eastAsia="Arial" w:hAnsi="Times New Roman"/>
          <w:sz w:val="28"/>
          <w:szCs w:val="28"/>
          <w:lang w:val="ru-RU"/>
        </w:rPr>
        <w:t xml:space="preserve"> громади.</w:t>
      </w:r>
    </w:p>
    <w:p w:rsidR="00227FEF" w:rsidRDefault="00494B9D">
      <w:pPr>
        <w:pStyle w:val="3"/>
        <w:spacing w:before="120" w:line="276" w:lineRule="auto"/>
        <w:ind w:firstLine="708"/>
        <w:rPr>
          <w:rFonts w:ascii="Times New Roman" w:hAnsi="Times New Roman" w:cs="Times New Roman"/>
          <w:color w:val="000000"/>
          <w:sz w:val="28"/>
          <w:szCs w:val="28"/>
        </w:rPr>
      </w:pPr>
      <w:r>
        <w:rPr>
          <w:rFonts w:ascii="Times New Roman" w:hAnsi="Times New Roman" w:cs="Times New Roman"/>
          <w:color w:val="000000"/>
          <w:sz w:val="28"/>
          <w:szCs w:val="28"/>
        </w:rPr>
        <w:t>11.3. Національні меншини та інтеграція ромського населення</w:t>
      </w:r>
    </w:p>
    <w:p w:rsidR="00227FEF" w:rsidRPr="005E48D4" w:rsidRDefault="00494B9D">
      <w:pPr>
        <w:spacing w:before="120" w:after="120" w:line="276" w:lineRule="auto"/>
        <w:ind w:firstLine="708"/>
        <w:jc w:val="both"/>
        <w:rPr>
          <w:rFonts w:ascii="Times New Roman" w:hAnsi="Times New Roman"/>
          <w:sz w:val="28"/>
          <w:szCs w:val="28"/>
          <w:lang w:val="ru-RU"/>
        </w:rPr>
      </w:pPr>
      <w:r w:rsidRPr="005E48D4">
        <w:rPr>
          <w:rFonts w:ascii="Times New Roman" w:eastAsia="Arial" w:hAnsi="Times New Roman"/>
          <w:sz w:val="28"/>
          <w:szCs w:val="28"/>
          <w:lang w:val="uk-UA"/>
        </w:rPr>
        <w:t xml:space="preserve">Закарпаття історично є поліетнічним регіоном, де поряд з українцями проживають представники угорської, словацької, румунської, німецької, ромської та інших національних меншин. </w:t>
      </w:r>
      <w:r w:rsidRPr="005E48D4">
        <w:rPr>
          <w:rFonts w:ascii="Times New Roman" w:eastAsia="Arial" w:hAnsi="Times New Roman"/>
          <w:sz w:val="28"/>
          <w:szCs w:val="28"/>
          <w:lang w:val="ru-RU"/>
        </w:rPr>
        <w:t>На території Тур’є-Реметівської громади також проживають представни</w:t>
      </w:r>
      <w:r w:rsidR="005E48D4">
        <w:rPr>
          <w:rFonts w:ascii="Times New Roman" w:eastAsia="Arial" w:hAnsi="Times New Roman"/>
          <w:sz w:val="28"/>
          <w:szCs w:val="28"/>
          <w:lang w:val="ru-RU"/>
        </w:rPr>
        <w:t>ки ромської національної ме</w:t>
      </w:r>
      <w:r w:rsidR="005E48D4">
        <w:rPr>
          <w:rFonts w:ascii="Times New Roman" w:eastAsia="Arial" w:hAnsi="Times New Roman"/>
          <w:sz w:val="28"/>
          <w:szCs w:val="28"/>
          <w:lang w:val="uk-UA"/>
        </w:rPr>
        <w:t>ншин</w:t>
      </w:r>
      <w:r w:rsidRPr="005E48D4">
        <w:rPr>
          <w:rFonts w:ascii="Times New Roman" w:eastAsia="Arial" w:hAnsi="Times New Roman"/>
          <w:sz w:val="28"/>
          <w:szCs w:val="28"/>
          <w:lang w:val="ru-RU"/>
        </w:rPr>
        <w:t>, місця компактного прожи</w:t>
      </w:r>
      <w:r w:rsidR="005E48D4">
        <w:rPr>
          <w:rFonts w:ascii="Times New Roman" w:eastAsia="Arial" w:hAnsi="Times New Roman"/>
          <w:sz w:val="28"/>
          <w:szCs w:val="28"/>
          <w:lang w:val="ru-RU"/>
        </w:rPr>
        <w:t>вання</w:t>
      </w:r>
      <w:r w:rsidRPr="005E48D4">
        <w:rPr>
          <w:rFonts w:ascii="Times New Roman" w:eastAsia="Arial" w:hAnsi="Times New Roman"/>
          <w:sz w:val="28"/>
          <w:szCs w:val="28"/>
          <w:lang w:val="ru-RU"/>
        </w:rPr>
        <w:t>. Забезпечення рівних прав, недискримінації та інтеграції національних меншин є складовою соціальної політики громади та відповідає зобов’язанням України у сфері прав людини в межах євроінтеграційного курсу.</w:t>
      </w:r>
    </w:p>
    <w:p w:rsidR="00227FEF" w:rsidRPr="005E48D4" w:rsidRDefault="00494B9D">
      <w:pPr>
        <w:spacing w:before="120" w:after="120" w:line="276" w:lineRule="auto"/>
        <w:ind w:firstLine="708"/>
        <w:jc w:val="both"/>
        <w:rPr>
          <w:rFonts w:ascii="Times New Roman" w:hAnsi="Times New Roman"/>
          <w:sz w:val="28"/>
          <w:szCs w:val="28"/>
          <w:lang w:val="ru-RU"/>
        </w:rPr>
      </w:pPr>
      <w:r w:rsidRPr="005E48D4">
        <w:rPr>
          <w:rFonts w:ascii="Times New Roman" w:eastAsia="Arial" w:hAnsi="Times New Roman"/>
          <w:sz w:val="28"/>
          <w:szCs w:val="28"/>
          <w:lang w:val="ru-RU"/>
        </w:rPr>
        <w:t xml:space="preserve">Ромська громада належить до однієї з найбільш соціально вразливих груп. Серед типових проблем, що потребують уваги: високий рівень раннього відсіву дітей зі школи; низький рівень формальної зайнятості з переважанням сезонних і </w:t>
      </w:r>
      <w:r w:rsidRPr="005E48D4">
        <w:rPr>
          <w:rFonts w:ascii="Times New Roman" w:eastAsia="Arial" w:hAnsi="Times New Roman"/>
          <w:sz w:val="28"/>
          <w:szCs w:val="28"/>
          <w:lang w:val="ru-RU"/>
        </w:rPr>
        <w:lastRenderedPageBreak/>
        <w:t>неформальних видів робіт; незадовільні житлово-побутові умови в місцях компактного проживання.</w:t>
      </w:r>
    </w:p>
    <w:p w:rsidR="00227FEF" w:rsidRPr="005E48D4" w:rsidRDefault="00494B9D">
      <w:pPr>
        <w:spacing w:before="120" w:after="120" w:line="276" w:lineRule="auto"/>
        <w:ind w:firstLine="708"/>
        <w:jc w:val="both"/>
        <w:rPr>
          <w:rFonts w:ascii="Times New Roman" w:hAnsi="Times New Roman"/>
          <w:sz w:val="28"/>
          <w:szCs w:val="28"/>
          <w:lang w:val="ru-RU"/>
        </w:rPr>
      </w:pPr>
      <w:r w:rsidRPr="005E48D4">
        <w:rPr>
          <w:rFonts w:ascii="Times New Roman" w:eastAsia="Arial" w:hAnsi="Times New Roman"/>
          <w:sz w:val="28"/>
          <w:szCs w:val="28"/>
          <w:lang w:val="ru-RU"/>
        </w:rPr>
        <w:t>Політика громади щодо інтеграції ромського населення та підтримки національних меншин ґрунтується на принципах недискримінації, рівних можливостей і поваги до культурної самобутності та передбачає:</w:t>
      </w:r>
    </w:p>
    <w:p w:rsidR="00227FEF" w:rsidRPr="005E48D4" w:rsidRDefault="00494B9D">
      <w:pPr>
        <w:spacing w:before="120" w:after="120" w:line="276" w:lineRule="auto"/>
        <w:ind w:firstLine="708"/>
        <w:jc w:val="both"/>
        <w:rPr>
          <w:rFonts w:ascii="Times New Roman" w:hAnsi="Times New Roman"/>
          <w:sz w:val="28"/>
          <w:szCs w:val="28"/>
          <w:lang w:val="ru-RU"/>
        </w:rPr>
      </w:pPr>
      <w:r w:rsidRPr="005E48D4">
        <w:rPr>
          <w:rFonts w:ascii="Times New Roman" w:eastAsia="Arial" w:hAnsi="Times New Roman"/>
          <w:sz w:val="28"/>
          <w:szCs w:val="28"/>
          <w:lang w:val="ru-RU"/>
        </w:rPr>
        <w:t xml:space="preserve">— сприяння залученню та утриманню ромських дітей </w:t>
      </w:r>
      <w:proofErr w:type="gramStart"/>
      <w:r w:rsidRPr="005E48D4">
        <w:rPr>
          <w:rFonts w:ascii="Times New Roman" w:eastAsia="Arial" w:hAnsi="Times New Roman"/>
          <w:sz w:val="28"/>
          <w:szCs w:val="28"/>
          <w:lang w:val="ru-RU"/>
        </w:rPr>
        <w:t>у закладах</w:t>
      </w:r>
      <w:proofErr w:type="gramEnd"/>
      <w:r w:rsidRPr="005E48D4">
        <w:rPr>
          <w:rFonts w:ascii="Times New Roman" w:eastAsia="Arial" w:hAnsi="Times New Roman"/>
          <w:sz w:val="28"/>
          <w:szCs w:val="28"/>
          <w:lang w:val="ru-RU"/>
        </w:rPr>
        <w:t xml:space="preserve"> освіти, роботу з батьками й підтримку через інклюзивно-ресурсний центр;</w:t>
      </w:r>
    </w:p>
    <w:p w:rsidR="00227FEF" w:rsidRPr="005E48D4" w:rsidRDefault="00494B9D">
      <w:pPr>
        <w:spacing w:before="120" w:after="120" w:line="276" w:lineRule="auto"/>
        <w:ind w:firstLine="708"/>
        <w:jc w:val="both"/>
        <w:rPr>
          <w:rFonts w:ascii="Times New Roman" w:hAnsi="Times New Roman"/>
          <w:sz w:val="28"/>
          <w:szCs w:val="28"/>
          <w:lang w:val="ru-RU"/>
        </w:rPr>
      </w:pPr>
      <w:r w:rsidRPr="005E48D4">
        <w:rPr>
          <w:rFonts w:ascii="Times New Roman" w:eastAsia="Arial" w:hAnsi="Times New Roman"/>
          <w:sz w:val="28"/>
          <w:szCs w:val="28"/>
          <w:lang w:val="ru-RU"/>
        </w:rPr>
        <w:t>— допомогу в оформленні документів, реєстрації місця проживання та доступі до адміністративних і соціальних послуг, у тому числі через виїзне обслуговування ЦНАП;</w:t>
      </w:r>
    </w:p>
    <w:p w:rsidR="00227FEF" w:rsidRPr="005E48D4" w:rsidRDefault="00494B9D">
      <w:pPr>
        <w:spacing w:before="120" w:after="120" w:line="276" w:lineRule="auto"/>
        <w:ind w:firstLine="708"/>
        <w:jc w:val="both"/>
        <w:rPr>
          <w:rFonts w:ascii="Times New Roman" w:hAnsi="Times New Roman"/>
          <w:sz w:val="28"/>
          <w:szCs w:val="28"/>
          <w:lang w:val="ru-RU"/>
        </w:rPr>
      </w:pPr>
      <w:r w:rsidRPr="005E48D4">
        <w:rPr>
          <w:rFonts w:ascii="Times New Roman" w:eastAsia="Arial" w:hAnsi="Times New Roman"/>
          <w:sz w:val="28"/>
          <w:szCs w:val="28"/>
          <w:lang w:val="ru-RU"/>
        </w:rPr>
        <w:t>— сприяння легальній зайнятості, професійному навчанню та залученню до програм соціального підприємництва;</w:t>
      </w:r>
    </w:p>
    <w:p w:rsidR="00227FEF" w:rsidRPr="005E48D4" w:rsidRDefault="00494B9D">
      <w:pPr>
        <w:spacing w:before="120" w:after="120" w:line="276" w:lineRule="auto"/>
        <w:ind w:firstLine="708"/>
        <w:jc w:val="both"/>
        <w:rPr>
          <w:rFonts w:ascii="Times New Roman" w:hAnsi="Times New Roman"/>
          <w:sz w:val="28"/>
          <w:szCs w:val="28"/>
          <w:lang w:val="ru-RU"/>
        </w:rPr>
      </w:pPr>
      <w:r w:rsidRPr="005E48D4">
        <w:rPr>
          <w:rFonts w:ascii="Times New Roman" w:eastAsia="Arial" w:hAnsi="Times New Roman"/>
          <w:sz w:val="28"/>
          <w:szCs w:val="28"/>
          <w:lang w:val="ru-RU"/>
        </w:rPr>
        <w:t>— покращення доступу до первинної медичної допомоги та профілактичних заходів;</w:t>
      </w:r>
    </w:p>
    <w:p w:rsidR="00227FEF" w:rsidRPr="005E48D4" w:rsidRDefault="00494B9D">
      <w:pPr>
        <w:spacing w:before="120" w:after="120" w:line="276" w:lineRule="auto"/>
        <w:ind w:firstLine="708"/>
        <w:jc w:val="both"/>
        <w:rPr>
          <w:rFonts w:ascii="Times New Roman" w:hAnsi="Times New Roman"/>
          <w:sz w:val="28"/>
          <w:szCs w:val="28"/>
          <w:lang w:val="ru-RU"/>
        </w:rPr>
      </w:pPr>
      <w:r w:rsidRPr="005E48D4">
        <w:rPr>
          <w:rFonts w:ascii="Times New Roman" w:eastAsia="Arial" w:hAnsi="Times New Roman"/>
          <w:sz w:val="28"/>
          <w:szCs w:val="28"/>
          <w:lang w:val="ru-RU"/>
        </w:rPr>
        <w:t>— поступове покращення житлово-побутових умов у місцях компактного проживання;</w:t>
      </w:r>
    </w:p>
    <w:p w:rsidR="00227FEF" w:rsidRPr="005E48D4" w:rsidRDefault="00494B9D">
      <w:pPr>
        <w:spacing w:before="120" w:after="120" w:line="276" w:lineRule="auto"/>
        <w:ind w:firstLine="708"/>
        <w:jc w:val="both"/>
        <w:rPr>
          <w:rFonts w:ascii="Times New Roman" w:hAnsi="Times New Roman"/>
          <w:sz w:val="28"/>
          <w:szCs w:val="28"/>
          <w:lang w:val="ru-RU"/>
        </w:rPr>
      </w:pPr>
      <w:r w:rsidRPr="005E48D4">
        <w:rPr>
          <w:rFonts w:ascii="Times New Roman" w:eastAsia="Arial" w:hAnsi="Times New Roman"/>
          <w:sz w:val="28"/>
          <w:szCs w:val="28"/>
          <w:lang w:val="ru-RU"/>
        </w:rPr>
        <w:t>— підтримку культурної самобутності, протидію проявам дискримінації та формування атмосфери взаємоповаги в громаді.</w:t>
      </w:r>
    </w:p>
    <w:p w:rsidR="00227FEF" w:rsidRPr="005E48D4" w:rsidRDefault="00494B9D">
      <w:pPr>
        <w:spacing w:before="120" w:after="120" w:line="276" w:lineRule="auto"/>
        <w:ind w:firstLine="708"/>
        <w:jc w:val="both"/>
        <w:rPr>
          <w:rFonts w:ascii="Times New Roman" w:hAnsi="Times New Roman"/>
          <w:sz w:val="28"/>
          <w:szCs w:val="28"/>
          <w:lang w:val="ru-RU"/>
        </w:rPr>
      </w:pPr>
      <w:r w:rsidRPr="005E48D4">
        <w:rPr>
          <w:rFonts w:ascii="Times New Roman" w:eastAsia="Arial" w:hAnsi="Times New Roman"/>
          <w:sz w:val="28"/>
          <w:szCs w:val="28"/>
          <w:lang w:val="ru-RU"/>
        </w:rPr>
        <w:t>Інтеграційні заходи доцільно реалізовувати у партнерстві з профільними державними органами, громадськими та ромськими громадськими організаціями, із залученням коштів державних програм і міжнародної технічної допомоги. Послідовна політика інтеграції сприятиме зменшенню соціального відчуження, розширенню людського капіталу та зміцненню соціальної єдності громади.</w:t>
      </w:r>
    </w:p>
    <w:p w:rsidR="005E48D4" w:rsidRDefault="005E48D4">
      <w:pPr>
        <w:spacing w:after="360"/>
        <w:jc w:val="center"/>
        <w:outlineLvl w:val="0"/>
        <w:rPr>
          <w:rFonts w:ascii="Times New Roman" w:eastAsia="Arial" w:hAnsi="Times New Roman"/>
          <w:sz w:val="28"/>
          <w:szCs w:val="28"/>
          <w:lang w:val="uk-UA" w:eastAsia="uk-UA"/>
        </w:rPr>
      </w:pPr>
    </w:p>
    <w:p w:rsidR="00227FEF" w:rsidRPr="005E48D4" w:rsidRDefault="00494B9D">
      <w:pPr>
        <w:spacing w:after="360"/>
        <w:jc w:val="center"/>
        <w:outlineLvl w:val="0"/>
        <w:rPr>
          <w:lang w:val="ru-RU"/>
        </w:rPr>
      </w:pPr>
      <w:r>
        <w:rPr>
          <w:rFonts w:ascii="Times New Roman" w:eastAsia="Arial" w:hAnsi="Times New Roman"/>
          <w:sz w:val="28"/>
          <w:szCs w:val="28"/>
          <w:lang w:val="uk-UA" w:eastAsia="uk-UA"/>
        </w:rPr>
        <w:t>РОЗВИТОК ІНФРАСТРУКТУРИ ТУР’Є-Р</w:t>
      </w:r>
      <w:r>
        <w:rPr>
          <w:rFonts w:ascii="Times New Roman" w:eastAsia="Arial" w:hAnsi="Times New Roman"/>
          <w:sz w:val="28"/>
          <w:szCs w:val="28"/>
          <w:lang w:val="ru-RU" w:eastAsia="uk-UA"/>
        </w:rPr>
        <w:t xml:space="preserve"> </w:t>
      </w:r>
      <w:r>
        <w:rPr>
          <w:rFonts w:ascii="Times New Roman" w:eastAsia="Arial" w:hAnsi="Times New Roman"/>
          <w:sz w:val="28"/>
          <w:szCs w:val="28"/>
          <w:lang w:val="uk-UA" w:eastAsia="uk-UA"/>
        </w:rPr>
        <w:t>ЕМЕТІВСЬКОЇ ТЕРИТОРІАЛЬНОЇ ГРОМАДИ</w:t>
      </w:r>
    </w:p>
    <w:p w:rsidR="00227FEF" w:rsidRDefault="00494B9D">
      <w:pPr>
        <w:spacing w:before="120" w:after="120" w:line="276" w:lineRule="auto"/>
        <w:ind w:firstLine="708"/>
        <w:outlineLvl w:val="1"/>
        <w:rPr>
          <w:rFonts w:ascii="Times New Roman" w:eastAsia="Arial" w:hAnsi="Times New Roman"/>
          <w:b/>
          <w:bCs/>
          <w:sz w:val="28"/>
          <w:szCs w:val="28"/>
          <w:lang w:val="uk-UA" w:eastAsia="uk-UA"/>
        </w:rPr>
      </w:pPr>
      <w:r>
        <w:rPr>
          <w:rFonts w:ascii="Times New Roman" w:eastAsia="Arial" w:hAnsi="Times New Roman"/>
          <w:b/>
          <w:bCs/>
          <w:sz w:val="28"/>
          <w:szCs w:val="28"/>
          <w:lang w:val="uk-UA" w:eastAsia="uk-UA"/>
        </w:rPr>
        <w:t>1. Загальна характеристика інфраструктурного забезпечення</w:t>
      </w:r>
    </w:p>
    <w:p w:rsidR="00227FEF" w:rsidRDefault="00494B9D">
      <w:pPr>
        <w:spacing w:before="120" w:after="120" w:line="276" w:lineRule="auto"/>
        <w:ind w:firstLine="708"/>
        <w:outlineLvl w:val="2"/>
        <w:rPr>
          <w:rFonts w:ascii="Times New Roman" w:eastAsia="Arial" w:hAnsi="Times New Roman"/>
          <w:b/>
          <w:bCs/>
          <w:sz w:val="28"/>
          <w:szCs w:val="28"/>
          <w:lang w:val="uk-UA" w:eastAsia="uk-UA"/>
        </w:rPr>
      </w:pPr>
      <w:r>
        <w:rPr>
          <w:rFonts w:ascii="Times New Roman" w:eastAsia="Arial" w:hAnsi="Times New Roman"/>
          <w:b/>
          <w:bCs/>
          <w:sz w:val="28"/>
          <w:szCs w:val="28"/>
          <w:lang w:val="uk-UA" w:eastAsia="uk-UA"/>
        </w:rPr>
        <w:t>1.1. Географічні та демографічні передумови</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uk-UA"/>
        </w:rPr>
        <w:t xml:space="preserve">Тур’є-Реметівська територіальна громада — сільська громада гірського типу, утворена 12 червня 2020 року шляхом об’єднання 8 сільських рад. </w:t>
      </w:r>
      <w:r>
        <w:rPr>
          <w:rFonts w:ascii="Times New Roman" w:eastAsia="Arial" w:hAnsi="Times New Roman"/>
          <w:sz w:val="28"/>
          <w:szCs w:val="28"/>
          <w:lang w:val="ru-RU"/>
        </w:rPr>
        <w:t xml:space="preserve">Громада охоплює 17 населених пунктів на площі 437,3 км² в Ужгородському районі Закарпатської </w:t>
      </w:r>
      <w:r>
        <w:rPr>
          <w:rFonts w:ascii="Times New Roman" w:eastAsia="Arial" w:hAnsi="Times New Roman"/>
          <w:sz w:val="28"/>
          <w:szCs w:val="28"/>
          <w:lang w:val="ru-RU"/>
        </w:rPr>
        <w:lastRenderedPageBreak/>
        <w:t>області з населенням 16 107 осіб (2022). Адміністративний центр — село Тур’ї Ремети (3 340 осіб).</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Гірський рельєф, лінійна система розселення вздовж долини річки Тур’ї та її приток, низька щільність населення (36,8 осіб/км² при середній по Закарпатті 100 осіб/км² та по Україні 75 осіб/км²) та значна відстань між населеними пунктами — визначальні фактори, що формують специфіку інфраструктурного забезпечення території. Значні перепади висот (від ~250 м у долині р. Тур’ї до 1479 м на Полонині Руній), круті схили, лісовий масив (понад 70 % території вкрито лісом) ускладнюють будівництво та утримання інфраструктури.</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Нерівномірність розселення є ключовою характеристикою громади: у 6 найбільших селах (Порошково, Тур’ї Ремети, Тур’я Пасіка, Тур’я Поляна, Тур’я-Бистра, Туриця) мешкає понад 87 % населення, тоді як 6 найменших сіл (Лікіцари — 54, Лумшори — 84, Липовець — 131, Свалявка — 162, Маюрки — 181, Турички — 220) налічують разом менше 850 осіб. Ця дисперсність розселення робить забезпечення базовою інфраструктурою надзвичайно витратним у розрахунку на одного мешканця.</w:t>
      </w:r>
    </w:p>
    <w:p w:rsidR="00227FEF" w:rsidRDefault="00494B9D">
      <w:pPr>
        <w:spacing w:before="120" w:after="120" w:line="276" w:lineRule="auto"/>
        <w:ind w:firstLine="708"/>
        <w:outlineLvl w:val="2"/>
        <w:rPr>
          <w:rFonts w:ascii="Times New Roman" w:eastAsia="Arial" w:hAnsi="Times New Roman"/>
          <w:b/>
          <w:bCs/>
          <w:sz w:val="28"/>
          <w:szCs w:val="28"/>
          <w:lang w:val="uk-UA" w:eastAsia="uk-UA"/>
        </w:rPr>
      </w:pPr>
      <w:r>
        <w:rPr>
          <w:rFonts w:ascii="Times New Roman" w:eastAsia="Arial" w:hAnsi="Times New Roman"/>
          <w:b/>
          <w:bCs/>
          <w:sz w:val="28"/>
          <w:szCs w:val="28"/>
          <w:lang w:val="uk-UA" w:eastAsia="uk-UA"/>
        </w:rPr>
        <w:t>1.2. Поточний стан інфраструктури: загальна оцінка</w:t>
      </w:r>
    </w:p>
    <w:p w:rsidR="00227FEF" w:rsidRPr="005E48D4" w:rsidRDefault="00494B9D">
      <w:pPr>
        <w:spacing w:before="120" w:after="120" w:line="276" w:lineRule="auto"/>
        <w:ind w:firstLine="708"/>
        <w:jc w:val="both"/>
        <w:rPr>
          <w:lang w:val="ru-RU"/>
        </w:rPr>
      </w:pPr>
      <w:r>
        <w:rPr>
          <w:rFonts w:ascii="Times New Roman" w:eastAsia="Arial" w:hAnsi="Times New Roman"/>
          <w:sz w:val="28"/>
          <w:szCs w:val="28"/>
          <w:lang w:val="ru-RU"/>
        </w:rPr>
        <w:t>Стан інфраструктури громади характеризується значною нерівномірністю. Великі села (Тур’ї Ремети, Порошково, Тур’я Пасіка) забезпечені базовою інженерною та соціальною інфраструктурою на задовільному рівні — тут є школи, ФАПи, регулярне транспортне сполучення. Натомість малі гірські поселення (Лікіцари, Лумшори, Липовець, Завбуч) мають суттєві інфраструктурні обмеження.</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Співпраця з УК «Вітрові Парки України» вже показала відчутний економічний ефект: у підготовчий період компанія сплатила близько 3 млн грн до місцевого бюджету.</w:t>
      </w:r>
    </w:p>
    <w:p w:rsidR="00227FEF" w:rsidRDefault="00494B9D">
      <w:pPr>
        <w:spacing w:before="120" w:after="120" w:line="276" w:lineRule="auto"/>
        <w:ind w:firstLine="708"/>
        <w:outlineLvl w:val="1"/>
        <w:rPr>
          <w:rFonts w:ascii="Times New Roman" w:eastAsia="Arial" w:hAnsi="Times New Roman"/>
          <w:b/>
          <w:bCs/>
          <w:sz w:val="28"/>
          <w:szCs w:val="28"/>
          <w:lang w:val="uk-UA" w:eastAsia="uk-UA"/>
        </w:rPr>
      </w:pPr>
      <w:r>
        <w:rPr>
          <w:rFonts w:ascii="Times New Roman" w:eastAsia="Arial" w:hAnsi="Times New Roman"/>
          <w:b/>
          <w:bCs/>
          <w:sz w:val="28"/>
          <w:szCs w:val="28"/>
          <w:lang w:val="uk-UA" w:eastAsia="uk-UA"/>
        </w:rPr>
        <w:t>2. Транспортна інфраструктура</w:t>
      </w:r>
    </w:p>
    <w:p w:rsidR="00227FEF" w:rsidRPr="00F155F9" w:rsidRDefault="00494B9D">
      <w:pPr>
        <w:spacing w:before="120" w:after="120" w:line="276" w:lineRule="auto"/>
        <w:ind w:firstLine="708"/>
        <w:outlineLvl w:val="2"/>
        <w:rPr>
          <w:rFonts w:ascii="Times New Roman" w:eastAsia="Arial" w:hAnsi="Times New Roman"/>
          <w:b/>
          <w:bCs/>
          <w:sz w:val="28"/>
          <w:szCs w:val="28"/>
          <w:lang w:val="uk-UA" w:eastAsia="uk-UA"/>
        </w:rPr>
      </w:pPr>
      <w:r w:rsidRPr="00F155F9">
        <w:rPr>
          <w:rFonts w:ascii="Times New Roman" w:eastAsia="Arial" w:hAnsi="Times New Roman"/>
          <w:b/>
          <w:bCs/>
          <w:sz w:val="28"/>
          <w:szCs w:val="28"/>
          <w:lang w:val="uk-UA" w:eastAsia="uk-UA"/>
        </w:rPr>
        <w:t>2.1. Мережа автомобільних доріг</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Транспортна доступність є проблемним питанням для гірської громади з лінійною системою розселення. Населені пункти з’єднані автомобільними дорогами місцевого та обласного значення, які проходять вздовж долини річки Тур’ї та її приток. Загальна протяжність мережі автодоріг на території громади становить орієнтовно 80–90 км.</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 xml:space="preserve">Основною транспортною артерією є автодорога обласного значення Перечин — Тур’ї Ремети — Порошково, що з’єднує громаду з районним центром Перечин та </w:t>
      </w:r>
      <w:r>
        <w:rPr>
          <w:rFonts w:ascii="Times New Roman" w:eastAsia="Arial" w:hAnsi="Times New Roman"/>
          <w:sz w:val="28"/>
          <w:szCs w:val="28"/>
          <w:lang w:val="ru-RU"/>
        </w:rPr>
        <w:lastRenderedPageBreak/>
        <w:t>далі з обласним центром Ужгородом. Дана дорога в хорошому стані, однак на окремих ділянках є ями та нерівності покриття, що потребують не значного ямкового ремонту.</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 xml:space="preserve">Особливо складною є ситуація на ділянках, що ведуть до віддалених гірських сіл. Дорога місцевого значення </w:t>
      </w:r>
      <w:proofErr w:type="gramStart"/>
      <w:r>
        <w:rPr>
          <w:rFonts w:ascii="Times New Roman" w:eastAsia="Arial" w:hAnsi="Times New Roman"/>
          <w:sz w:val="28"/>
          <w:szCs w:val="28"/>
          <w:lang w:val="ru-RU"/>
        </w:rPr>
        <w:t>О</w:t>
      </w:r>
      <w:proofErr w:type="gramEnd"/>
      <w:r>
        <w:rPr>
          <w:rFonts w:ascii="Times New Roman" w:eastAsia="Arial" w:hAnsi="Times New Roman"/>
          <w:sz w:val="28"/>
          <w:szCs w:val="28"/>
          <w:lang w:val="ru-RU"/>
        </w:rPr>
        <w:t xml:space="preserve"> 070802 Тур’ї Ремети — Лумшори протяжністю 11,34 км (км 0+000 — км 11+340) є ключовою для розвитку туристичного потенціалу громади, оскільки забезпечує доступ до бальнеологічного курорту Лумшори. </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Дороги до сіл Турички — Липовець — Лікіцари перебувають у поганому стані.</w:t>
      </w:r>
      <w:r w:rsidR="0093226E">
        <w:rPr>
          <w:rFonts w:ascii="Times New Roman" w:eastAsia="Arial" w:hAnsi="Times New Roman"/>
          <w:sz w:val="28"/>
          <w:szCs w:val="28"/>
          <w:lang w:val="ru-RU"/>
        </w:rPr>
        <w:t xml:space="preserve"> </w:t>
      </w:r>
      <w:r>
        <w:rPr>
          <w:rFonts w:ascii="Times New Roman" w:eastAsia="Arial" w:hAnsi="Times New Roman"/>
          <w:sz w:val="28"/>
          <w:szCs w:val="28"/>
          <w:lang w:val="ru-RU"/>
        </w:rPr>
        <w:t xml:space="preserve">За орієнтовними оцінками, для приведення всіх доріг громади </w:t>
      </w:r>
      <w:proofErr w:type="gramStart"/>
      <w:r>
        <w:rPr>
          <w:rFonts w:ascii="Times New Roman" w:eastAsia="Arial" w:hAnsi="Times New Roman"/>
          <w:sz w:val="28"/>
          <w:szCs w:val="28"/>
          <w:lang w:val="ru-RU"/>
        </w:rPr>
        <w:t>до нормативного стану</w:t>
      </w:r>
      <w:proofErr w:type="gramEnd"/>
      <w:r>
        <w:rPr>
          <w:rFonts w:ascii="Times New Roman" w:eastAsia="Arial" w:hAnsi="Times New Roman"/>
          <w:sz w:val="28"/>
          <w:szCs w:val="28"/>
          <w:lang w:val="ru-RU"/>
        </w:rPr>
        <w:t xml:space="preserve"> необхідно щонайменше 150–200 млн грн інвестицій.</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Реалізація проєкту ВЕС «Полонина Руна» передбачає модернізацію дорожньої інфраструктури для доставки великогабаритного обладнання (лопаті турбін, башт, трансформаторів), що стане додатковим позитивним ефектом: оновлені ділянки доріг значно поліпшать транспортну доступність цілого ряду сіл.</w:t>
      </w:r>
    </w:p>
    <w:p w:rsidR="00227FEF" w:rsidRDefault="00494B9D">
      <w:pPr>
        <w:spacing w:before="120" w:after="120" w:line="276" w:lineRule="auto"/>
        <w:ind w:firstLine="708"/>
        <w:outlineLvl w:val="2"/>
        <w:rPr>
          <w:rFonts w:ascii="Times New Roman" w:eastAsia="Arial" w:hAnsi="Times New Roman"/>
          <w:b/>
          <w:bCs/>
          <w:sz w:val="28"/>
          <w:szCs w:val="28"/>
          <w:lang w:val="uk-UA" w:eastAsia="uk-UA"/>
        </w:rPr>
      </w:pPr>
      <w:r>
        <w:rPr>
          <w:rFonts w:ascii="Times New Roman" w:eastAsia="Arial" w:hAnsi="Times New Roman"/>
          <w:b/>
          <w:bCs/>
          <w:sz w:val="28"/>
          <w:szCs w:val="28"/>
          <w:lang w:val="uk-UA" w:eastAsia="uk-UA"/>
        </w:rPr>
        <w:t>2.2. Транспортна доступність населених пунктів</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Аналіз транспортної доступності 17 населених пунктів громади засвідчує суттєву нерівномірність. Якщо села, розташовані вздовж основної магістралі (Тур’ї Ремети, Порошково, Тур’я Пасіка), мають задовільне сполучення з районним центром Перечин та обласним центром Ужгород, то віддалені гірські населені пункти (Лікіцари, Свалявка, Лумшори) перебувають у стані транспортної ізоляції. Відстань від найвіддаленіших сіл до адміністративного центру сягає 20 км, а час доїзду — до 35 хвилин.</w:t>
      </w:r>
    </w:p>
    <w:p w:rsidR="00227FEF" w:rsidRDefault="00494B9D">
      <w:pPr>
        <w:spacing w:before="240" w:after="120"/>
        <w:jc w:val="center"/>
        <w:rPr>
          <w:rFonts w:ascii="Times New Roman" w:eastAsia="Arial" w:hAnsi="Times New Roman"/>
          <w:sz w:val="28"/>
          <w:szCs w:val="28"/>
        </w:rPr>
      </w:pPr>
      <w:r>
        <w:rPr>
          <w:rFonts w:ascii="Times New Roman" w:eastAsia="Arial" w:hAnsi="Times New Roman"/>
          <w:sz w:val="28"/>
          <w:szCs w:val="28"/>
        </w:rPr>
        <w:t>Транспортна доступність населених пунктів</w:t>
      </w:r>
    </w:p>
    <w:tbl>
      <w:tblPr>
        <w:tblW w:w="9360" w:type="dxa"/>
        <w:tblLayout w:type="fixed"/>
        <w:tblCellMar>
          <w:top w:w="60" w:type="dxa"/>
          <w:left w:w="100" w:type="dxa"/>
          <w:bottom w:w="60" w:type="dxa"/>
          <w:right w:w="100" w:type="dxa"/>
        </w:tblCellMar>
        <w:tblLook w:val="0000" w:firstRow="0" w:lastRow="0" w:firstColumn="0" w:lastColumn="0" w:noHBand="0" w:noVBand="0"/>
      </w:tblPr>
      <w:tblGrid>
        <w:gridCol w:w="2482"/>
        <w:gridCol w:w="1789"/>
        <w:gridCol w:w="1644"/>
        <w:gridCol w:w="1700"/>
        <w:gridCol w:w="1745"/>
      </w:tblGrid>
      <w:tr w:rsidR="00227FEF">
        <w:tc>
          <w:tcPr>
            <w:tcW w:w="248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27FEF" w:rsidRDefault="00494B9D">
            <w:pPr>
              <w:jc w:val="center"/>
              <w:rPr>
                <w:rFonts w:ascii="Times New Roman" w:hAnsi="Times New Roman"/>
                <w:sz w:val="28"/>
                <w:szCs w:val="28"/>
              </w:rPr>
            </w:pPr>
            <w:r>
              <w:rPr>
                <w:rFonts w:ascii="Times New Roman" w:eastAsia="Arial" w:hAnsi="Times New Roman"/>
                <w:b/>
                <w:bCs/>
                <w:sz w:val="28"/>
                <w:szCs w:val="28"/>
              </w:rPr>
              <w:t>Населений пункт</w:t>
            </w:r>
          </w:p>
        </w:tc>
        <w:tc>
          <w:tcPr>
            <w:tcW w:w="17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27FEF" w:rsidRDefault="00494B9D">
            <w:pPr>
              <w:jc w:val="center"/>
              <w:rPr>
                <w:rFonts w:ascii="Times New Roman" w:hAnsi="Times New Roman"/>
                <w:sz w:val="28"/>
                <w:szCs w:val="28"/>
              </w:rPr>
            </w:pPr>
            <w:r>
              <w:rPr>
                <w:rFonts w:ascii="Times New Roman" w:eastAsia="Arial" w:hAnsi="Times New Roman"/>
                <w:b/>
                <w:bCs/>
                <w:sz w:val="28"/>
                <w:szCs w:val="28"/>
              </w:rPr>
              <w:t>Відстань до центру</w:t>
            </w:r>
          </w:p>
        </w:tc>
        <w:tc>
          <w:tcPr>
            <w:tcW w:w="164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27FEF" w:rsidRDefault="00494B9D">
            <w:pPr>
              <w:jc w:val="center"/>
              <w:rPr>
                <w:rFonts w:ascii="Times New Roman" w:hAnsi="Times New Roman"/>
                <w:sz w:val="28"/>
                <w:szCs w:val="28"/>
              </w:rPr>
            </w:pPr>
            <w:r>
              <w:rPr>
                <w:rFonts w:ascii="Times New Roman" w:eastAsia="Arial" w:hAnsi="Times New Roman"/>
                <w:b/>
                <w:bCs/>
                <w:sz w:val="28"/>
                <w:szCs w:val="28"/>
              </w:rPr>
              <w:t>Час доїзду</w:t>
            </w:r>
          </w:p>
        </w:tc>
        <w:tc>
          <w:tcPr>
            <w:tcW w:w="17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27FEF" w:rsidRDefault="00494B9D">
            <w:pPr>
              <w:jc w:val="center"/>
              <w:rPr>
                <w:rFonts w:ascii="Times New Roman" w:hAnsi="Times New Roman"/>
                <w:sz w:val="28"/>
                <w:szCs w:val="28"/>
              </w:rPr>
            </w:pPr>
            <w:r>
              <w:rPr>
                <w:rFonts w:ascii="Times New Roman" w:eastAsia="Arial" w:hAnsi="Times New Roman"/>
                <w:b/>
                <w:bCs/>
                <w:sz w:val="28"/>
                <w:szCs w:val="28"/>
              </w:rPr>
              <w:t>Автобусне сполучення</w:t>
            </w:r>
          </w:p>
        </w:tc>
        <w:tc>
          <w:tcPr>
            <w:tcW w:w="174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27FEF" w:rsidRDefault="00494B9D">
            <w:pPr>
              <w:jc w:val="center"/>
              <w:rPr>
                <w:rFonts w:ascii="Times New Roman" w:hAnsi="Times New Roman"/>
                <w:sz w:val="28"/>
                <w:szCs w:val="28"/>
              </w:rPr>
            </w:pPr>
            <w:r>
              <w:rPr>
                <w:rFonts w:ascii="Times New Roman" w:eastAsia="Arial" w:hAnsi="Times New Roman"/>
                <w:b/>
                <w:bCs/>
                <w:sz w:val="28"/>
                <w:szCs w:val="28"/>
              </w:rPr>
              <w:t>Доступність</w:t>
            </w:r>
          </w:p>
        </w:tc>
      </w:tr>
      <w:tr w:rsidR="00227FEF">
        <w:tc>
          <w:tcPr>
            <w:tcW w:w="2482"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sz w:val="28"/>
                <w:szCs w:val="28"/>
              </w:rPr>
            </w:pPr>
            <w:r>
              <w:rPr>
                <w:rFonts w:ascii="Times New Roman" w:eastAsia="Arial" w:hAnsi="Times New Roman"/>
                <w:b/>
                <w:bCs/>
                <w:sz w:val="28"/>
                <w:szCs w:val="28"/>
              </w:rPr>
              <w:t>Тур’ї Ремети (центр)</w:t>
            </w:r>
          </w:p>
        </w:tc>
        <w:tc>
          <w:tcPr>
            <w:tcW w:w="1789"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sz w:val="28"/>
                <w:szCs w:val="28"/>
              </w:rPr>
            </w:pPr>
            <w:r>
              <w:rPr>
                <w:rFonts w:ascii="Times New Roman" w:eastAsia="Arial" w:hAnsi="Times New Roman"/>
                <w:sz w:val="28"/>
                <w:szCs w:val="28"/>
              </w:rPr>
              <w:t>0 км</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sz w:val="28"/>
                <w:szCs w:val="28"/>
              </w:rPr>
            </w:pPr>
            <w:r>
              <w:rPr>
                <w:rFonts w:ascii="Times New Roman" w:eastAsia="Arial" w:hAnsi="Times New Roman"/>
                <w:sz w:val="28"/>
                <w:szCs w:val="28"/>
              </w:rPr>
              <w:t>—</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sz w:val="28"/>
                <w:szCs w:val="28"/>
              </w:rPr>
            </w:pPr>
            <w:r>
              <w:rPr>
                <w:rFonts w:ascii="Times New Roman" w:eastAsia="Arial" w:hAnsi="Times New Roman"/>
                <w:sz w:val="28"/>
                <w:szCs w:val="28"/>
              </w:rPr>
              <w:t xml:space="preserve">Так </w:t>
            </w:r>
          </w:p>
        </w:tc>
        <w:tc>
          <w:tcPr>
            <w:tcW w:w="1745"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sz w:val="28"/>
                <w:szCs w:val="28"/>
              </w:rPr>
            </w:pPr>
            <w:r>
              <w:rPr>
                <w:rFonts w:ascii="Times New Roman" w:eastAsia="Arial" w:hAnsi="Times New Roman"/>
                <w:sz w:val="28"/>
                <w:szCs w:val="28"/>
              </w:rPr>
              <w:t>Висока</w:t>
            </w:r>
          </w:p>
        </w:tc>
      </w:tr>
      <w:tr w:rsidR="00227FEF">
        <w:tc>
          <w:tcPr>
            <w:tcW w:w="2482"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sz w:val="28"/>
                <w:szCs w:val="28"/>
              </w:rPr>
            </w:pPr>
            <w:r>
              <w:rPr>
                <w:rFonts w:ascii="Times New Roman" w:eastAsia="Arial" w:hAnsi="Times New Roman"/>
                <w:b/>
                <w:bCs/>
                <w:sz w:val="28"/>
                <w:szCs w:val="28"/>
              </w:rPr>
              <w:t>Порошково</w:t>
            </w:r>
          </w:p>
        </w:tc>
        <w:tc>
          <w:tcPr>
            <w:tcW w:w="1789"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sz w:val="28"/>
                <w:szCs w:val="28"/>
              </w:rPr>
            </w:pPr>
            <w:r>
              <w:rPr>
                <w:rFonts w:ascii="Times New Roman" w:eastAsia="Arial" w:hAnsi="Times New Roman"/>
                <w:sz w:val="28"/>
                <w:szCs w:val="28"/>
                <w:lang w:val="uk-UA"/>
              </w:rPr>
              <w:t>13</w:t>
            </w:r>
            <w:r>
              <w:rPr>
                <w:rFonts w:ascii="Times New Roman" w:eastAsia="Arial" w:hAnsi="Times New Roman"/>
                <w:sz w:val="28"/>
                <w:szCs w:val="28"/>
              </w:rPr>
              <w:t xml:space="preserve"> км</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sz w:val="28"/>
                <w:szCs w:val="28"/>
              </w:rPr>
            </w:pPr>
            <w:r>
              <w:rPr>
                <w:rFonts w:ascii="Times New Roman" w:eastAsia="Arial" w:hAnsi="Times New Roman"/>
                <w:sz w:val="28"/>
                <w:szCs w:val="28"/>
              </w:rPr>
              <w:t>1</w:t>
            </w:r>
            <w:r>
              <w:rPr>
                <w:rFonts w:ascii="Times New Roman" w:eastAsia="Arial" w:hAnsi="Times New Roman"/>
                <w:sz w:val="28"/>
                <w:szCs w:val="28"/>
                <w:lang w:val="uk-UA"/>
              </w:rPr>
              <w:t>6</w:t>
            </w:r>
            <w:r>
              <w:rPr>
                <w:rFonts w:ascii="Times New Roman" w:eastAsia="Arial" w:hAnsi="Times New Roman"/>
                <w:sz w:val="28"/>
                <w:szCs w:val="28"/>
              </w:rPr>
              <w:t xml:space="preserve"> хв</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sz w:val="28"/>
                <w:szCs w:val="28"/>
              </w:rPr>
            </w:pPr>
            <w:r>
              <w:rPr>
                <w:rFonts w:ascii="Times New Roman" w:eastAsia="Arial" w:hAnsi="Times New Roman"/>
                <w:sz w:val="28"/>
                <w:szCs w:val="28"/>
              </w:rPr>
              <w:t xml:space="preserve">Так </w:t>
            </w:r>
          </w:p>
        </w:tc>
        <w:tc>
          <w:tcPr>
            <w:tcW w:w="1745"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sz w:val="28"/>
                <w:szCs w:val="28"/>
              </w:rPr>
            </w:pPr>
            <w:r>
              <w:rPr>
                <w:rFonts w:ascii="Times New Roman" w:eastAsia="Arial" w:hAnsi="Times New Roman"/>
                <w:sz w:val="28"/>
                <w:szCs w:val="28"/>
              </w:rPr>
              <w:t>Висока</w:t>
            </w:r>
          </w:p>
        </w:tc>
      </w:tr>
      <w:tr w:rsidR="00227FEF">
        <w:tc>
          <w:tcPr>
            <w:tcW w:w="2482"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sz w:val="28"/>
                <w:szCs w:val="28"/>
              </w:rPr>
            </w:pPr>
            <w:r>
              <w:rPr>
                <w:rFonts w:ascii="Times New Roman" w:eastAsia="Arial" w:hAnsi="Times New Roman"/>
                <w:b/>
                <w:bCs/>
                <w:sz w:val="28"/>
                <w:szCs w:val="28"/>
              </w:rPr>
              <w:t>Тур’я Пасіка</w:t>
            </w:r>
          </w:p>
        </w:tc>
        <w:tc>
          <w:tcPr>
            <w:tcW w:w="1789"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sz w:val="28"/>
                <w:szCs w:val="28"/>
              </w:rPr>
            </w:pPr>
            <w:r>
              <w:rPr>
                <w:rFonts w:ascii="Times New Roman" w:eastAsia="Arial" w:hAnsi="Times New Roman"/>
                <w:sz w:val="28"/>
                <w:szCs w:val="28"/>
              </w:rPr>
              <w:t>8 км</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sz w:val="28"/>
                <w:szCs w:val="28"/>
              </w:rPr>
            </w:pPr>
            <w:r>
              <w:rPr>
                <w:rFonts w:ascii="Times New Roman" w:eastAsia="Arial" w:hAnsi="Times New Roman"/>
                <w:sz w:val="28"/>
                <w:szCs w:val="28"/>
              </w:rPr>
              <w:t>12 хв</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sz w:val="28"/>
                <w:szCs w:val="28"/>
              </w:rPr>
            </w:pPr>
            <w:r>
              <w:rPr>
                <w:rFonts w:ascii="Times New Roman" w:eastAsia="Arial" w:hAnsi="Times New Roman"/>
                <w:sz w:val="28"/>
                <w:szCs w:val="28"/>
              </w:rPr>
              <w:t>Так</w:t>
            </w:r>
          </w:p>
        </w:tc>
        <w:tc>
          <w:tcPr>
            <w:tcW w:w="1745"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sz w:val="28"/>
                <w:szCs w:val="28"/>
              </w:rPr>
            </w:pPr>
            <w:r>
              <w:rPr>
                <w:rFonts w:ascii="Times New Roman" w:eastAsia="Arial" w:hAnsi="Times New Roman"/>
                <w:sz w:val="28"/>
                <w:szCs w:val="28"/>
              </w:rPr>
              <w:t>Висока</w:t>
            </w:r>
          </w:p>
        </w:tc>
      </w:tr>
      <w:tr w:rsidR="00227FEF">
        <w:tc>
          <w:tcPr>
            <w:tcW w:w="2482"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sz w:val="28"/>
                <w:szCs w:val="28"/>
              </w:rPr>
            </w:pPr>
            <w:r>
              <w:rPr>
                <w:rFonts w:ascii="Times New Roman" w:eastAsia="Arial" w:hAnsi="Times New Roman"/>
                <w:b/>
                <w:bCs/>
                <w:sz w:val="28"/>
                <w:szCs w:val="28"/>
              </w:rPr>
              <w:t>Тур’я Поляна</w:t>
            </w:r>
          </w:p>
        </w:tc>
        <w:tc>
          <w:tcPr>
            <w:tcW w:w="1789"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sz w:val="28"/>
                <w:szCs w:val="28"/>
              </w:rPr>
            </w:pPr>
            <w:r>
              <w:rPr>
                <w:rFonts w:ascii="Times New Roman" w:eastAsia="Arial" w:hAnsi="Times New Roman"/>
                <w:sz w:val="28"/>
                <w:szCs w:val="28"/>
                <w:lang w:val="uk-UA"/>
              </w:rPr>
              <w:t>19</w:t>
            </w:r>
            <w:r>
              <w:rPr>
                <w:rFonts w:ascii="Times New Roman" w:eastAsia="Arial" w:hAnsi="Times New Roman"/>
                <w:sz w:val="28"/>
                <w:szCs w:val="28"/>
              </w:rPr>
              <w:t xml:space="preserve"> км</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sz w:val="28"/>
                <w:szCs w:val="28"/>
              </w:rPr>
            </w:pPr>
            <w:r>
              <w:rPr>
                <w:rFonts w:ascii="Times New Roman" w:eastAsia="Arial" w:hAnsi="Times New Roman"/>
                <w:sz w:val="28"/>
                <w:szCs w:val="28"/>
                <w:lang w:val="uk-UA"/>
              </w:rPr>
              <w:t>22</w:t>
            </w:r>
            <w:r>
              <w:rPr>
                <w:rFonts w:ascii="Times New Roman" w:eastAsia="Arial" w:hAnsi="Times New Roman"/>
                <w:sz w:val="28"/>
                <w:szCs w:val="28"/>
              </w:rPr>
              <w:t xml:space="preserve"> хв</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eastAsia="Arial" w:hAnsi="Times New Roman"/>
                <w:sz w:val="28"/>
                <w:szCs w:val="28"/>
              </w:rPr>
            </w:pPr>
            <w:r>
              <w:rPr>
                <w:rFonts w:ascii="Times New Roman" w:eastAsia="Arial" w:hAnsi="Times New Roman"/>
                <w:sz w:val="28"/>
                <w:szCs w:val="28"/>
              </w:rPr>
              <w:t>Так</w:t>
            </w:r>
          </w:p>
        </w:tc>
        <w:tc>
          <w:tcPr>
            <w:tcW w:w="1745"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eastAsia="Arial" w:hAnsi="Times New Roman"/>
                <w:sz w:val="28"/>
                <w:szCs w:val="28"/>
              </w:rPr>
            </w:pPr>
            <w:r>
              <w:rPr>
                <w:rFonts w:ascii="Times New Roman" w:eastAsia="Arial" w:hAnsi="Times New Roman"/>
                <w:sz w:val="28"/>
                <w:szCs w:val="28"/>
              </w:rPr>
              <w:t>Висока</w:t>
            </w:r>
          </w:p>
        </w:tc>
      </w:tr>
      <w:tr w:rsidR="00227FEF">
        <w:tc>
          <w:tcPr>
            <w:tcW w:w="2482"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sz w:val="28"/>
                <w:szCs w:val="28"/>
              </w:rPr>
            </w:pPr>
            <w:r>
              <w:rPr>
                <w:rFonts w:ascii="Times New Roman" w:eastAsia="Arial" w:hAnsi="Times New Roman"/>
                <w:b/>
                <w:bCs/>
                <w:sz w:val="28"/>
                <w:szCs w:val="28"/>
              </w:rPr>
              <w:t>Тур’я-Бистра</w:t>
            </w:r>
          </w:p>
        </w:tc>
        <w:tc>
          <w:tcPr>
            <w:tcW w:w="1789"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sz w:val="28"/>
                <w:szCs w:val="28"/>
              </w:rPr>
            </w:pPr>
            <w:r>
              <w:rPr>
                <w:rFonts w:ascii="Times New Roman" w:eastAsia="Arial" w:hAnsi="Times New Roman"/>
                <w:sz w:val="28"/>
                <w:szCs w:val="28"/>
                <w:lang w:val="uk-UA"/>
              </w:rPr>
              <w:t>20</w:t>
            </w:r>
            <w:r>
              <w:rPr>
                <w:rFonts w:ascii="Times New Roman" w:eastAsia="Arial" w:hAnsi="Times New Roman"/>
                <w:sz w:val="28"/>
                <w:szCs w:val="28"/>
              </w:rPr>
              <w:t xml:space="preserve"> км</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sz w:val="28"/>
                <w:szCs w:val="28"/>
              </w:rPr>
            </w:pPr>
            <w:r>
              <w:rPr>
                <w:rFonts w:ascii="Times New Roman" w:eastAsia="Arial" w:hAnsi="Times New Roman"/>
                <w:sz w:val="28"/>
                <w:szCs w:val="28"/>
              </w:rPr>
              <w:t>2</w:t>
            </w:r>
            <w:r>
              <w:rPr>
                <w:rFonts w:ascii="Times New Roman" w:eastAsia="Arial" w:hAnsi="Times New Roman"/>
                <w:sz w:val="28"/>
                <w:szCs w:val="28"/>
                <w:lang w:val="uk-UA"/>
              </w:rPr>
              <w:t>4</w:t>
            </w:r>
            <w:r>
              <w:rPr>
                <w:rFonts w:ascii="Times New Roman" w:eastAsia="Arial" w:hAnsi="Times New Roman"/>
                <w:sz w:val="28"/>
                <w:szCs w:val="28"/>
              </w:rPr>
              <w:t xml:space="preserve"> хв</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eastAsia="Arial" w:hAnsi="Times New Roman"/>
                <w:sz w:val="28"/>
                <w:szCs w:val="28"/>
              </w:rPr>
            </w:pPr>
            <w:r>
              <w:rPr>
                <w:rFonts w:ascii="Times New Roman" w:eastAsia="Arial" w:hAnsi="Times New Roman"/>
                <w:sz w:val="28"/>
                <w:szCs w:val="28"/>
              </w:rPr>
              <w:t>Так</w:t>
            </w:r>
          </w:p>
        </w:tc>
        <w:tc>
          <w:tcPr>
            <w:tcW w:w="1745"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eastAsia="Arial" w:hAnsi="Times New Roman"/>
                <w:sz w:val="28"/>
                <w:szCs w:val="28"/>
              </w:rPr>
            </w:pPr>
            <w:r>
              <w:rPr>
                <w:rFonts w:ascii="Times New Roman" w:eastAsia="Arial" w:hAnsi="Times New Roman"/>
                <w:sz w:val="28"/>
                <w:szCs w:val="28"/>
              </w:rPr>
              <w:t>Висока</w:t>
            </w:r>
          </w:p>
        </w:tc>
      </w:tr>
      <w:tr w:rsidR="00227FEF">
        <w:tc>
          <w:tcPr>
            <w:tcW w:w="2482"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sz w:val="28"/>
                <w:szCs w:val="28"/>
              </w:rPr>
            </w:pPr>
            <w:r>
              <w:rPr>
                <w:rFonts w:ascii="Times New Roman" w:eastAsia="Arial" w:hAnsi="Times New Roman"/>
                <w:b/>
                <w:bCs/>
                <w:sz w:val="28"/>
                <w:szCs w:val="28"/>
              </w:rPr>
              <w:t>Туриця</w:t>
            </w:r>
          </w:p>
        </w:tc>
        <w:tc>
          <w:tcPr>
            <w:tcW w:w="1789"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sz w:val="28"/>
                <w:szCs w:val="28"/>
              </w:rPr>
            </w:pPr>
            <w:r>
              <w:rPr>
                <w:rFonts w:ascii="Times New Roman" w:eastAsia="Arial" w:hAnsi="Times New Roman"/>
                <w:sz w:val="28"/>
                <w:szCs w:val="28"/>
              </w:rPr>
              <w:t>4 км</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sz w:val="28"/>
                <w:szCs w:val="28"/>
              </w:rPr>
            </w:pPr>
            <w:r>
              <w:rPr>
                <w:rFonts w:ascii="Times New Roman" w:eastAsia="Arial" w:hAnsi="Times New Roman"/>
                <w:sz w:val="28"/>
                <w:szCs w:val="28"/>
              </w:rPr>
              <w:t>6 хв</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eastAsia="Arial" w:hAnsi="Times New Roman"/>
                <w:sz w:val="28"/>
                <w:szCs w:val="28"/>
              </w:rPr>
            </w:pPr>
            <w:r>
              <w:rPr>
                <w:rFonts w:ascii="Times New Roman" w:eastAsia="Arial" w:hAnsi="Times New Roman"/>
                <w:sz w:val="28"/>
                <w:szCs w:val="28"/>
              </w:rPr>
              <w:t>Так</w:t>
            </w:r>
          </w:p>
        </w:tc>
        <w:tc>
          <w:tcPr>
            <w:tcW w:w="1745"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eastAsia="Arial" w:hAnsi="Times New Roman"/>
                <w:sz w:val="28"/>
                <w:szCs w:val="28"/>
              </w:rPr>
            </w:pPr>
            <w:r>
              <w:rPr>
                <w:rFonts w:ascii="Times New Roman" w:eastAsia="Arial" w:hAnsi="Times New Roman"/>
                <w:sz w:val="28"/>
                <w:szCs w:val="28"/>
              </w:rPr>
              <w:t>Висока</w:t>
            </w:r>
          </w:p>
        </w:tc>
      </w:tr>
      <w:tr w:rsidR="00227FEF">
        <w:tc>
          <w:tcPr>
            <w:tcW w:w="2482"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sz w:val="28"/>
                <w:szCs w:val="28"/>
              </w:rPr>
            </w:pPr>
            <w:r>
              <w:rPr>
                <w:rFonts w:ascii="Times New Roman" w:eastAsia="Arial" w:hAnsi="Times New Roman"/>
                <w:b/>
                <w:bCs/>
                <w:sz w:val="28"/>
                <w:szCs w:val="28"/>
              </w:rPr>
              <w:t>Вільшинки</w:t>
            </w:r>
          </w:p>
        </w:tc>
        <w:tc>
          <w:tcPr>
            <w:tcW w:w="1789"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sz w:val="28"/>
                <w:szCs w:val="28"/>
              </w:rPr>
            </w:pPr>
            <w:r>
              <w:rPr>
                <w:rFonts w:ascii="Times New Roman" w:eastAsia="Arial" w:hAnsi="Times New Roman"/>
                <w:sz w:val="28"/>
                <w:szCs w:val="28"/>
                <w:lang w:val="uk-UA"/>
              </w:rPr>
              <w:t>16</w:t>
            </w:r>
            <w:r>
              <w:rPr>
                <w:rFonts w:ascii="Times New Roman" w:eastAsia="Arial" w:hAnsi="Times New Roman"/>
                <w:sz w:val="28"/>
                <w:szCs w:val="28"/>
              </w:rPr>
              <w:t xml:space="preserve"> км</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sz w:val="28"/>
                <w:szCs w:val="28"/>
              </w:rPr>
            </w:pPr>
            <w:r>
              <w:rPr>
                <w:rFonts w:ascii="Times New Roman" w:eastAsia="Arial" w:hAnsi="Times New Roman"/>
                <w:sz w:val="28"/>
                <w:szCs w:val="28"/>
                <w:lang w:val="uk-UA"/>
              </w:rPr>
              <w:t>27</w:t>
            </w:r>
            <w:r>
              <w:rPr>
                <w:rFonts w:ascii="Times New Roman" w:eastAsia="Arial" w:hAnsi="Times New Roman"/>
                <w:sz w:val="28"/>
                <w:szCs w:val="28"/>
              </w:rPr>
              <w:t xml:space="preserve"> хв</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eastAsia="Arial" w:hAnsi="Times New Roman"/>
                <w:sz w:val="28"/>
                <w:szCs w:val="28"/>
              </w:rPr>
            </w:pPr>
            <w:r>
              <w:rPr>
                <w:rFonts w:ascii="Times New Roman" w:eastAsia="Arial" w:hAnsi="Times New Roman"/>
                <w:sz w:val="28"/>
                <w:szCs w:val="28"/>
              </w:rPr>
              <w:t>Так</w:t>
            </w:r>
          </w:p>
        </w:tc>
        <w:tc>
          <w:tcPr>
            <w:tcW w:w="1745"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sz w:val="28"/>
                <w:szCs w:val="28"/>
              </w:rPr>
            </w:pPr>
            <w:r>
              <w:rPr>
                <w:rFonts w:ascii="Times New Roman" w:eastAsia="Arial" w:hAnsi="Times New Roman"/>
                <w:sz w:val="28"/>
                <w:szCs w:val="28"/>
              </w:rPr>
              <w:t>Середня</w:t>
            </w:r>
          </w:p>
        </w:tc>
      </w:tr>
      <w:tr w:rsidR="00227FEF">
        <w:tc>
          <w:tcPr>
            <w:tcW w:w="2482"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sz w:val="28"/>
                <w:szCs w:val="28"/>
              </w:rPr>
            </w:pPr>
            <w:r>
              <w:rPr>
                <w:rFonts w:ascii="Times New Roman" w:eastAsia="Arial" w:hAnsi="Times New Roman"/>
                <w:b/>
                <w:bCs/>
                <w:sz w:val="28"/>
                <w:szCs w:val="28"/>
              </w:rPr>
              <w:lastRenderedPageBreak/>
              <w:t>Раково</w:t>
            </w:r>
          </w:p>
        </w:tc>
        <w:tc>
          <w:tcPr>
            <w:tcW w:w="1789"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sz w:val="28"/>
                <w:szCs w:val="28"/>
              </w:rPr>
            </w:pPr>
            <w:r>
              <w:rPr>
                <w:rFonts w:ascii="Times New Roman" w:eastAsia="Arial" w:hAnsi="Times New Roman"/>
                <w:sz w:val="28"/>
                <w:szCs w:val="28"/>
                <w:lang w:val="uk-UA"/>
              </w:rPr>
              <w:t>5</w:t>
            </w:r>
            <w:r>
              <w:rPr>
                <w:rFonts w:ascii="Times New Roman" w:eastAsia="Arial" w:hAnsi="Times New Roman"/>
                <w:sz w:val="28"/>
                <w:szCs w:val="28"/>
              </w:rPr>
              <w:t xml:space="preserve"> км</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sz w:val="28"/>
                <w:szCs w:val="28"/>
              </w:rPr>
            </w:pPr>
            <w:r>
              <w:rPr>
                <w:rFonts w:ascii="Times New Roman" w:eastAsia="Arial" w:hAnsi="Times New Roman"/>
                <w:sz w:val="28"/>
                <w:szCs w:val="28"/>
                <w:lang w:val="uk-UA"/>
              </w:rPr>
              <w:t>9</w:t>
            </w:r>
            <w:r>
              <w:rPr>
                <w:rFonts w:ascii="Times New Roman" w:eastAsia="Arial" w:hAnsi="Times New Roman"/>
                <w:sz w:val="28"/>
                <w:szCs w:val="28"/>
              </w:rPr>
              <w:t xml:space="preserve"> хв</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sz w:val="28"/>
                <w:szCs w:val="28"/>
              </w:rPr>
            </w:pPr>
            <w:r>
              <w:rPr>
                <w:rFonts w:ascii="Times New Roman" w:eastAsia="Arial" w:hAnsi="Times New Roman"/>
                <w:sz w:val="28"/>
                <w:szCs w:val="28"/>
              </w:rPr>
              <w:t>Так</w:t>
            </w:r>
          </w:p>
        </w:tc>
        <w:tc>
          <w:tcPr>
            <w:tcW w:w="1745"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sz w:val="28"/>
                <w:szCs w:val="28"/>
              </w:rPr>
            </w:pPr>
            <w:r>
              <w:rPr>
                <w:rFonts w:ascii="Times New Roman" w:eastAsia="Arial" w:hAnsi="Times New Roman"/>
                <w:sz w:val="28"/>
                <w:szCs w:val="28"/>
              </w:rPr>
              <w:t>Висока</w:t>
            </w:r>
          </w:p>
        </w:tc>
      </w:tr>
      <w:tr w:rsidR="00227FEF">
        <w:tc>
          <w:tcPr>
            <w:tcW w:w="2482"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sz w:val="28"/>
                <w:szCs w:val="28"/>
              </w:rPr>
            </w:pPr>
            <w:r>
              <w:rPr>
                <w:rFonts w:ascii="Times New Roman" w:eastAsia="Arial" w:hAnsi="Times New Roman"/>
                <w:b/>
                <w:bCs/>
                <w:sz w:val="28"/>
                <w:szCs w:val="28"/>
              </w:rPr>
              <w:t>Завбуч</w:t>
            </w:r>
          </w:p>
        </w:tc>
        <w:tc>
          <w:tcPr>
            <w:tcW w:w="1789"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sz w:val="28"/>
                <w:szCs w:val="28"/>
              </w:rPr>
            </w:pPr>
            <w:r>
              <w:rPr>
                <w:rFonts w:ascii="Times New Roman" w:eastAsia="Arial" w:hAnsi="Times New Roman"/>
                <w:sz w:val="28"/>
                <w:szCs w:val="28"/>
                <w:lang w:val="uk-UA"/>
              </w:rPr>
              <w:t>9,5</w:t>
            </w:r>
            <w:r>
              <w:rPr>
                <w:rFonts w:ascii="Times New Roman" w:eastAsia="Arial" w:hAnsi="Times New Roman"/>
                <w:sz w:val="28"/>
                <w:szCs w:val="28"/>
              </w:rPr>
              <w:t xml:space="preserve"> км</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sz w:val="28"/>
                <w:szCs w:val="28"/>
              </w:rPr>
            </w:pPr>
            <w:r>
              <w:rPr>
                <w:rFonts w:ascii="Times New Roman" w:eastAsia="Arial" w:hAnsi="Times New Roman"/>
                <w:sz w:val="28"/>
                <w:szCs w:val="28"/>
                <w:lang w:val="uk-UA"/>
              </w:rPr>
              <w:t>14</w:t>
            </w:r>
            <w:r>
              <w:rPr>
                <w:rFonts w:ascii="Times New Roman" w:eastAsia="Arial" w:hAnsi="Times New Roman"/>
                <w:sz w:val="28"/>
                <w:szCs w:val="28"/>
              </w:rPr>
              <w:t xml:space="preserve"> хв</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sz w:val="28"/>
                <w:szCs w:val="28"/>
              </w:rPr>
            </w:pPr>
            <w:r>
              <w:rPr>
                <w:rFonts w:ascii="Times New Roman" w:eastAsia="Arial" w:hAnsi="Times New Roman"/>
                <w:sz w:val="28"/>
                <w:szCs w:val="28"/>
              </w:rPr>
              <w:t>Обмежено</w:t>
            </w:r>
          </w:p>
        </w:tc>
        <w:tc>
          <w:tcPr>
            <w:tcW w:w="1745"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sz w:val="28"/>
                <w:szCs w:val="28"/>
              </w:rPr>
            </w:pPr>
            <w:r>
              <w:rPr>
                <w:rFonts w:ascii="Times New Roman" w:eastAsia="Arial" w:hAnsi="Times New Roman"/>
                <w:sz w:val="28"/>
                <w:szCs w:val="28"/>
              </w:rPr>
              <w:t>Низька</w:t>
            </w:r>
          </w:p>
        </w:tc>
      </w:tr>
      <w:tr w:rsidR="00227FEF">
        <w:tc>
          <w:tcPr>
            <w:tcW w:w="2482"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sz w:val="28"/>
                <w:szCs w:val="28"/>
              </w:rPr>
            </w:pPr>
            <w:r>
              <w:rPr>
                <w:rFonts w:ascii="Times New Roman" w:eastAsia="Arial" w:hAnsi="Times New Roman"/>
                <w:b/>
                <w:bCs/>
                <w:sz w:val="28"/>
                <w:szCs w:val="28"/>
              </w:rPr>
              <w:t>Лумшори</w:t>
            </w:r>
          </w:p>
        </w:tc>
        <w:tc>
          <w:tcPr>
            <w:tcW w:w="1789"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sz w:val="28"/>
                <w:szCs w:val="28"/>
              </w:rPr>
            </w:pPr>
            <w:r>
              <w:rPr>
                <w:rFonts w:ascii="Times New Roman" w:eastAsia="Arial" w:hAnsi="Times New Roman"/>
                <w:sz w:val="28"/>
                <w:szCs w:val="28"/>
              </w:rPr>
              <w:t>17 км</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sz w:val="28"/>
                <w:szCs w:val="28"/>
              </w:rPr>
            </w:pPr>
            <w:r>
              <w:rPr>
                <w:rFonts w:ascii="Times New Roman" w:eastAsia="Arial" w:hAnsi="Times New Roman"/>
                <w:sz w:val="28"/>
                <w:szCs w:val="28"/>
              </w:rPr>
              <w:t>30 хв</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sz w:val="28"/>
                <w:szCs w:val="28"/>
              </w:rPr>
            </w:pPr>
            <w:r>
              <w:rPr>
                <w:rFonts w:ascii="Times New Roman" w:eastAsia="Arial" w:hAnsi="Times New Roman"/>
                <w:sz w:val="28"/>
                <w:szCs w:val="28"/>
                <w:lang w:val="uk-UA"/>
              </w:rPr>
              <w:t>Так</w:t>
            </w:r>
            <w:r>
              <w:rPr>
                <w:rFonts w:ascii="Times New Roman" w:eastAsia="Arial" w:hAnsi="Times New Roman"/>
                <w:sz w:val="28"/>
                <w:szCs w:val="28"/>
              </w:rPr>
              <w:t>(2 рейси/день)</w:t>
            </w:r>
          </w:p>
        </w:tc>
        <w:tc>
          <w:tcPr>
            <w:tcW w:w="1745"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eastAsia="Arial" w:hAnsi="Times New Roman"/>
                <w:sz w:val="28"/>
                <w:szCs w:val="28"/>
              </w:rPr>
            </w:pPr>
            <w:r>
              <w:rPr>
                <w:rFonts w:ascii="Times New Roman" w:eastAsia="Arial" w:hAnsi="Times New Roman"/>
                <w:sz w:val="28"/>
                <w:szCs w:val="28"/>
              </w:rPr>
              <w:t>Середня</w:t>
            </w:r>
          </w:p>
        </w:tc>
      </w:tr>
      <w:tr w:rsidR="00227FEF">
        <w:tc>
          <w:tcPr>
            <w:tcW w:w="2482"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sz w:val="28"/>
                <w:szCs w:val="28"/>
              </w:rPr>
            </w:pPr>
            <w:r>
              <w:rPr>
                <w:rFonts w:ascii="Times New Roman" w:eastAsia="Arial" w:hAnsi="Times New Roman"/>
                <w:b/>
                <w:bCs/>
                <w:sz w:val="28"/>
                <w:szCs w:val="28"/>
              </w:rPr>
              <w:t>Турички</w:t>
            </w:r>
          </w:p>
        </w:tc>
        <w:tc>
          <w:tcPr>
            <w:tcW w:w="1789"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sz w:val="28"/>
                <w:szCs w:val="28"/>
              </w:rPr>
            </w:pPr>
            <w:r>
              <w:rPr>
                <w:rFonts w:ascii="Times New Roman" w:eastAsia="Arial" w:hAnsi="Times New Roman"/>
                <w:sz w:val="28"/>
                <w:szCs w:val="28"/>
              </w:rPr>
              <w:t>1</w:t>
            </w:r>
            <w:r>
              <w:rPr>
                <w:rFonts w:ascii="Times New Roman" w:eastAsia="Arial" w:hAnsi="Times New Roman"/>
                <w:sz w:val="28"/>
                <w:szCs w:val="28"/>
                <w:lang w:val="uk-UA"/>
              </w:rPr>
              <w:t>1</w:t>
            </w:r>
            <w:r>
              <w:rPr>
                <w:rFonts w:ascii="Times New Roman" w:eastAsia="Arial" w:hAnsi="Times New Roman"/>
                <w:sz w:val="28"/>
                <w:szCs w:val="28"/>
              </w:rPr>
              <w:t xml:space="preserve"> км</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sz w:val="28"/>
                <w:szCs w:val="28"/>
              </w:rPr>
            </w:pPr>
            <w:r>
              <w:rPr>
                <w:rFonts w:ascii="Times New Roman" w:eastAsia="Arial" w:hAnsi="Times New Roman"/>
                <w:sz w:val="28"/>
                <w:szCs w:val="28"/>
                <w:lang w:val="uk-UA"/>
              </w:rPr>
              <w:t>17</w:t>
            </w:r>
            <w:r>
              <w:rPr>
                <w:rFonts w:ascii="Times New Roman" w:eastAsia="Arial" w:hAnsi="Times New Roman"/>
                <w:sz w:val="28"/>
                <w:szCs w:val="28"/>
              </w:rPr>
              <w:t xml:space="preserve"> хв</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sz w:val="28"/>
                <w:szCs w:val="28"/>
                <w:lang w:val="uk-UA"/>
              </w:rPr>
            </w:pPr>
            <w:r>
              <w:rPr>
                <w:rFonts w:ascii="Times New Roman" w:eastAsia="Arial" w:hAnsi="Times New Roman"/>
                <w:sz w:val="28"/>
                <w:szCs w:val="28"/>
                <w:lang w:val="uk-UA"/>
              </w:rPr>
              <w:t>Так</w:t>
            </w:r>
          </w:p>
        </w:tc>
        <w:tc>
          <w:tcPr>
            <w:tcW w:w="1745"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eastAsia="Arial" w:hAnsi="Times New Roman"/>
                <w:sz w:val="28"/>
                <w:szCs w:val="28"/>
              </w:rPr>
            </w:pPr>
            <w:r>
              <w:rPr>
                <w:rFonts w:ascii="Times New Roman" w:eastAsia="Arial" w:hAnsi="Times New Roman"/>
                <w:sz w:val="28"/>
                <w:szCs w:val="28"/>
              </w:rPr>
              <w:t>Середня</w:t>
            </w:r>
          </w:p>
        </w:tc>
      </w:tr>
      <w:tr w:rsidR="00227FEF">
        <w:tc>
          <w:tcPr>
            <w:tcW w:w="2482"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sz w:val="28"/>
                <w:szCs w:val="28"/>
              </w:rPr>
            </w:pPr>
            <w:r>
              <w:rPr>
                <w:rFonts w:ascii="Times New Roman" w:eastAsia="Arial" w:hAnsi="Times New Roman"/>
                <w:b/>
                <w:bCs/>
                <w:sz w:val="28"/>
                <w:szCs w:val="28"/>
              </w:rPr>
              <w:t>Липовець</w:t>
            </w:r>
          </w:p>
        </w:tc>
        <w:tc>
          <w:tcPr>
            <w:tcW w:w="1789"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sz w:val="28"/>
                <w:szCs w:val="28"/>
              </w:rPr>
            </w:pPr>
            <w:r>
              <w:rPr>
                <w:rFonts w:ascii="Times New Roman" w:eastAsia="Arial" w:hAnsi="Times New Roman"/>
                <w:sz w:val="28"/>
                <w:szCs w:val="28"/>
              </w:rPr>
              <w:t>16 км</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sz w:val="28"/>
                <w:szCs w:val="28"/>
              </w:rPr>
            </w:pPr>
            <w:r>
              <w:rPr>
                <w:rFonts w:ascii="Times New Roman" w:eastAsia="Arial" w:hAnsi="Times New Roman"/>
                <w:sz w:val="28"/>
                <w:szCs w:val="28"/>
              </w:rPr>
              <w:t>30 хв</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sz w:val="28"/>
                <w:szCs w:val="28"/>
              </w:rPr>
            </w:pPr>
            <w:r>
              <w:rPr>
                <w:rFonts w:ascii="Times New Roman" w:eastAsia="Arial" w:hAnsi="Times New Roman"/>
                <w:sz w:val="28"/>
                <w:szCs w:val="28"/>
              </w:rPr>
              <w:t>Ні</w:t>
            </w:r>
          </w:p>
        </w:tc>
        <w:tc>
          <w:tcPr>
            <w:tcW w:w="1745"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eastAsia="Arial" w:hAnsi="Times New Roman"/>
                <w:sz w:val="28"/>
                <w:szCs w:val="28"/>
              </w:rPr>
            </w:pPr>
            <w:r>
              <w:rPr>
                <w:rFonts w:ascii="Times New Roman" w:eastAsia="Arial" w:hAnsi="Times New Roman"/>
                <w:sz w:val="28"/>
                <w:szCs w:val="28"/>
              </w:rPr>
              <w:t>Низька</w:t>
            </w:r>
          </w:p>
        </w:tc>
      </w:tr>
      <w:tr w:rsidR="00227FEF">
        <w:tc>
          <w:tcPr>
            <w:tcW w:w="2482"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sz w:val="28"/>
                <w:szCs w:val="28"/>
              </w:rPr>
            </w:pPr>
            <w:r>
              <w:rPr>
                <w:rFonts w:ascii="Times New Roman" w:eastAsia="Arial" w:hAnsi="Times New Roman"/>
                <w:b/>
                <w:bCs/>
                <w:sz w:val="28"/>
                <w:szCs w:val="28"/>
              </w:rPr>
              <w:t>Лікіцари</w:t>
            </w:r>
          </w:p>
        </w:tc>
        <w:tc>
          <w:tcPr>
            <w:tcW w:w="1789"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sz w:val="28"/>
                <w:szCs w:val="28"/>
              </w:rPr>
            </w:pPr>
            <w:r>
              <w:rPr>
                <w:rFonts w:ascii="Times New Roman" w:eastAsia="Arial" w:hAnsi="Times New Roman"/>
                <w:sz w:val="28"/>
                <w:szCs w:val="28"/>
              </w:rPr>
              <w:t>18 км</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sz w:val="28"/>
                <w:szCs w:val="28"/>
              </w:rPr>
            </w:pPr>
            <w:r>
              <w:rPr>
                <w:rFonts w:ascii="Times New Roman" w:eastAsia="Arial" w:hAnsi="Times New Roman"/>
                <w:sz w:val="28"/>
                <w:szCs w:val="28"/>
              </w:rPr>
              <w:t>35 хв</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sz w:val="28"/>
                <w:szCs w:val="28"/>
              </w:rPr>
            </w:pPr>
            <w:r>
              <w:rPr>
                <w:rFonts w:ascii="Times New Roman" w:eastAsia="Arial" w:hAnsi="Times New Roman"/>
                <w:sz w:val="28"/>
                <w:szCs w:val="28"/>
              </w:rPr>
              <w:t>Ні</w:t>
            </w:r>
          </w:p>
        </w:tc>
        <w:tc>
          <w:tcPr>
            <w:tcW w:w="1745"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eastAsia="Arial" w:hAnsi="Times New Roman"/>
                <w:sz w:val="28"/>
                <w:szCs w:val="28"/>
              </w:rPr>
            </w:pPr>
            <w:r>
              <w:rPr>
                <w:rFonts w:ascii="Times New Roman" w:eastAsia="Arial" w:hAnsi="Times New Roman"/>
                <w:sz w:val="28"/>
                <w:szCs w:val="28"/>
              </w:rPr>
              <w:t>Низька</w:t>
            </w:r>
          </w:p>
        </w:tc>
      </w:tr>
      <w:tr w:rsidR="00227FEF">
        <w:tc>
          <w:tcPr>
            <w:tcW w:w="2482"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sz w:val="28"/>
                <w:szCs w:val="28"/>
              </w:rPr>
            </w:pPr>
            <w:r>
              <w:rPr>
                <w:rFonts w:ascii="Times New Roman" w:eastAsia="Arial" w:hAnsi="Times New Roman"/>
                <w:b/>
                <w:bCs/>
                <w:sz w:val="28"/>
                <w:szCs w:val="28"/>
              </w:rPr>
              <w:t>Мокра</w:t>
            </w:r>
          </w:p>
        </w:tc>
        <w:tc>
          <w:tcPr>
            <w:tcW w:w="1789"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sz w:val="28"/>
                <w:szCs w:val="28"/>
              </w:rPr>
            </w:pPr>
            <w:r>
              <w:rPr>
                <w:rFonts w:ascii="Times New Roman" w:eastAsia="Arial" w:hAnsi="Times New Roman"/>
                <w:sz w:val="28"/>
                <w:szCs w:val="28"/>
              </w:rPr>
              <w:t>12 км</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sz w:val="28"/>
                <w:szCs w:val="28"/>
              </w:rPr>
            </w:pPr>
            <w:r>
              <w:rPr>
                <w:rFonts w:ascii="Times New Roman" w:eastAsia="Arial" w:hAnsi="Times New Roman"/>
                <w:sz w:val="28"/>
                <w:szCs w:val="28"/>
              </w:rPr>
              <w:t>18 хв</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sz w:val="28"/>
                <w:szCs w:val="28"/>
              </w:rPr>
            </w:pPr>
            <w:r>
              <w:rPr>
                <w:rFonts w:ascii="Times New Roman" w:eastAsia="Arial" w:hAnsi="Times New Roman"/>
                <w:sz w:val="28"/>
                <w:szCs w:val="28"/>
              </w:rPr>
              <w:t>Ні</w:t>
            </w:r>
          </w:p>
        </w:tc>
        <w:tc>
          <w:tcPr>
            <w:tcW w:w="1745"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sz w:val="28"/>
                <w:szCs w:val="28"/>
              </w:rPr>
            </w:pPr>
            <w:r>
              <w:rPr>
                <w:rFonts w:ascii="Times New Roman" w:eastAsia="Arial" w:hAnsi="Times New Roman"/>
                <w:sz w:val="28"/>
                <w:szCs w:val="28"/>
              </w:rPr>
              <w:t>Низька</w:t>
            </w:r>
          </w:p>
        </w:tc>
      </w:tr>
      <w:tr w:rsidR="00227FEF">
        <w:tc>
          <w:tcPr>
            <w:tcW w:w="2482"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sz w:val="28"/>
                <w:szCs w:val="28"/>
              </w:rPr>
            </w:pPr>
            <w:r>
              <w:rPr>
                <w:rFonts w:ascii="Times New Roman" w:eastAsia="Arial" w:hAnsi="Times New Roman"/>
                <w:b/>
                <w:bCs/>
                <w:sz w:val="28"/>
                <w:szCs w:val="28"/>
              </w:rPr>
              <w:t>Маюрки</w:t>
            </w:r>
          </w:p>
        </w:tc>
        <w:tc>
          <w:tcPr>
            <w:tcW w:w="1789"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sz w:val="28"/>
                <w:szCs w:val="28"/>
              </w:rPr>
            </w:pPr>
            <w:r>
              <w:rPr>
                <w:rFonts w:ascii="Times New Roman" w:eastAsia="Arial" w:hAnsi="Times New Roman"/>
                <w:sz w:val="28"/>
                <w:szCs w:val="28"/>
              </w:rPr>
              <w:t>1</w:t>
            </w:r>
            <w:r>
              <w:rPr>
                <w:rFonts w:ascii="Times New Roman" w:eastAsia="Arial" w:hAnsi="Times New Roman"/>
                <w:sz w:val="28"/>
                <w:szCs w:val="28"/>
                <w:lang w:val="uk-UA"/>
              </w:rPr>
              <w:t>6</w:t>
            </w:r>
            <w:r>
              <w:rPr>
                <w:rFonts w:ascii="Times New Roman" w:eastAsia="Arial" w:hAnsi="Times New Roman"/>
                <w:sz w:val="28"/>
                <w:szCs w:val="28"/>
              </w:rPr>
              <w:t xml:space="preserve"> км</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sz w:val="28"/>
                <w:szCs w:val="28"/>
              </w:rPr>
            </w:pPr>
            <w:r>
              <w:rPr>
                <w:rFonts w:ascii="Times New Roman" w:eastAsia="Arial" w:hAnsi="Times New Roman"/>
                <w:sz w:val="28"/>
                <w:szCs w:val="28"/>
              </w:rPr>
              <w:t>2</w:t>
            </w:r>
            <w:r>
              <w:rPr>
                <w:rFonts w:ascii="Times New Roman" w:eastAsia="Arial" w:hAnsi="Times New Roman"/>
                <w:sz w:val="28"/>
                <w:szCs w:val="28"/>
                <w:lang w:val="uk-UA"/>
              </w:rPr>
              <w:t>2</w:t>
            </w:r>
            <w:r>
              <w:rPr>
                <w:rFonts w:ascii="Times New Roman" w:eastAsia="Arial" w:hAnsi="Times New Roman"/>
                <w:sz w:val="28"/>
                <w:szCs w:val="28"/>
              </w:rPr>
              <w:t xml:space="preserve"> хв</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sz w:val="28"/>
                <w:szCs w:val="28"/>
              </w:rPr>
            </w:pPr>
            <w:r>
              <w:rPr>
                <w:rFonts w:ascii="Times New Roman" w:eastAsia="Arial" w:hAnsi="Times New Roman"/>
                <w:sz w:val="28"/>
                <w:szCs w:val="28"/>
              </w:rPr>
              <w:t>Ні</w:t>
            </w:r>
          </w:p>
        </w:tc>
        <w:tc>
          <w:tcPr>
            <w:tcW w:w="1745"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sz w:val="28"/>
                <w:szCs w:val="28"/>
              </w:rPr>
            </w:pPr>
            <w:r>
              <w:rPr>
                <w:rFonts w:ascii="Times New Roman" w:eastAsia="Arial" w:hAnsi="Times New Roman"/>
                <w:sz w:val="28"/>
                <w:szCs w:val="28"/>
              </w:rPr>
              <w:t>Низька</w:t>
            </w:r>
          </w:p>
        </w:tc>
      </w:tr>
      <w:tr w:rsidR="00227FEF">
        <w:tc>
          <w:tcPr>
            <w:tcW w:w="2482"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sz w:val="28"/>
                <w:szCs w:val="28"/>
              </w:rPr>
            </w:pPr>
            <w:r>
              <w:rPr>
                <w:rFonts w:ascii="Times New Roman" w:eastAsia="Arial" w:hAnsi="Times New Roman"/>
                <w:b/>
                <w:bCs/>
                <w:sz w:val="28"/>
                <w:szCs w:val="28"/>
              </w:rPr>
              <w:t>Полянська Гута</w:t>
            </w:r>
          </w:p>
        </w:tc>
        <w:tc>
          <w:tcPr>
            <w:tcW w:w="1789"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sz w:val="28"/>
                <w:szCs w:val="28"/>
              </w:rPr>
            </w:pPr>
            <w:r>
              <w:rPr>
                <w:rFonts w:ascii="Times New Roman" w:eastAsia="Arial" w:hAnsi="Times New Roman"/>
                <w:sz w:val="28"/>
                <w:szCs w:val="28"/>
                <w:lang w:val="uk-UA"/>
              </w:rPr>
              <w:t>25</w:t>
            </w:r>
            <w:r>
              <w:rPr>
                <w:rFonts w:ascii="Times New Roman" w:eastAsia="Arial" w:hAnsi="Times New Roman"/>
                <w:sz w:val="28"/>
                <w:szCs w:val="28"/>
              </w:rPr>
              <w:t xml:space="preserve"> км</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sz w:val="28"/>
                <w:szCs w:val="28"/>
              </w:rPr>
            </w:pPr>
            <w:r>
              <w:rPr>
                <w:rFonts w:ascii="Times New Roman" w:eastAsia="Arial" w:hAnsi="Times New Roman"/>
                <w:sz w:val="28"/>
                <w:szCs w:val="28"/>
                <w:lang w:val="uk-UA"/>
              </w:rPr>
              <w:t>31</w:t>
            </w:r>
            <w:r>
              <w:rPr>
                <w:rFonts w:ascii="Times New Roman" w:eastAsia="Arial" w:hAnsi="Times New Roman"/>
                <w:sz w:val="28"/>
                <w:szCs w:val="28"/>
              </w:rPr>
              <w:t xml:space="preserve"> хв</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sz w:val="28"/>
                <w:szCs w:val="28"/>
                <w:lang w:val="uk-UA"/>
              </w:rPr>
            </w:pPr>
            <w:r>
              <w:rPr>
                <w:rFonts w:ascii="Times New Roman" w:eastAsia="Arial" w:hAnsi="Times New Roman"/>
                <w:sz w:val="28"/>
                <w:szCs w:val="28"/>
                <w:lang w:val="uk-UA"/>
              </w:rPr>
              <w:t>Так</w:t>
            </w:r>
          </w:p>
        </w:tc>
        <w:tc>
          <w:tcPr>
            <w:tcW w:w="1745"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eastAsia="Arial" w:hAnsi="Times New Roman"/>
                <w:sz w:val="28"/>
                <w:szCs w:val="28"/>
              </w:rPr>
            </w:pPr>
            <w:r>
              <w:rPr>
                <w:rFonts w:ascii="Times New Roman" w:eastAsia="Arial" w:hAnsi="Times New Roman"/>
                <w:sz w:val="28"/>
                <w:szCs w:val="28"/>
              </w:rPr>
              <w:t>Середня</w:t>
            </w:r>
          </w:p>
        </w:tc>
      </w:tr>
      <w:tr w:rsidR="00227FEF">
        <w:tc>
          <w:tcPr>
            <w:tcW w:w="2482"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sz w:val="28"/>
                <w:szCs w:val="28"/>
              </w:rPr>
            </w:pPr>
            <w:r>
              <w:rPr>
                <w:rFonts w:ascii="Times New Roman" w:eastAsia="Arial" w:hAnsi="Times New Roman"/>
                <w:b/>
                <w:bCs/>
                <w:sz w:val="28"/>
                <w:szCs w:val="28"/>
              </w:rPr>
              <w:t>Свалявка</w:t>
            </w:r>
          </w:p>
        </w:tc>
        <w:tc>
          <w:tcPr>
            <w:tcW w:w="1789"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sz w:val="28"/>
                <w:szCs w:val="28"/>
              </w:rPr>
            </w:pPr>
            <w:r>
              <w:rPr>
                <w:rFonts w:ascii="Times New Roman" w:eastAsia="Arial" w:hAnsi="Times New Roman"/>
                <w:sz w:val="28"/>
                <w:szCs w:val="28"/>
                <w:lang w:val="uk-UA"/>
              </w:rPr>
              <w:t>20</w:t>
            </w:r>
            <w:r>
              <w:rPr>
                <w:rFonts w:ascii="Times New Roman" w:eastAsia="Arial" w:hAnsi="Times New Roman"/>
                <w:sz w:val="28"/>
                <w:szCs w:val="28"/>
              </w:rPr>
              <w:t xml:space="preserve"> км</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sz w:val="28"/>
                <w:szCs w:val="28"/>
              </w:rPr>
            </w:pPr>
            <w:r>
              <w:rPr>
                <w:rFonts w:ascii="Times New Roman" w:eastAsia="Arial" w:hAnsi="Times New Roman"/>
                <w:sz w:val="28"/>
                <w:szCs w:val="28"/>
                <w:lang w:val="uk-UA"/>
              </w:rPr>
              <w:t>21</w:t>
            </w:r>
            <w:r>
              <w:rPr>
                <w:rFonts w:ascii="Times New Roman" w:eastAsia="Arial" w:hAnsi="Times New Roman"/>
                <w:sz w:val="28"/>
                <w:szCs w:val="28"/>
              </w:rPr>
              <w:t xml:space="preserve"> хв</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sz w:val="28"/>
                <w:szCs w:val="28"/>
                <w:lang w:val="uk-UA"/>
              </w:rPr>
            </w:pPr>
            <w:r>
              <w:rPr>
                <w:rFonts w:ascii="Times New Roman" w:eastAsia="Arial" w:hAnsi="Times New Roman"/>
                <w:sz w:val="28"/>
                <w:szCs w:val="28"/>
                <w:lang w:val="uk-UA"/>
              </w:rPr>
              <w:t>Так</w:t>
            </w:r>
          </w:p>
        </w:tc>
        <w:tc>
          <w:tcPr>
            <w:tcW w:w="1745"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eastAsia="Arial" w:hAnsi="Times New Roman"/>
                <w:sz w:val="28"/>
                <w:szCs w:val="28"/>
              </w:rPr>
            </w:pPr>
            <w:r>
              <w:rPr>
                <w:rFonts w:ascii="Times New Roman" w:eastAsia="Arial" w:hAnsi="Times New Roman"/>
                <w:sz w:val="28"/>
                <w:szCs w:val="28"/>
              </w:rPr>
              <w:t>Висока</w:t>
            </w:r>
          </w:p>
          <w:p w:rsidR="00227FEF" w:rsidRDefault="00227FEF">
            <w:pPr>
              <w:jc w:val="center"/>
              <w:rPr>
                <w:rFonts w:ascii="Times New Roman" w:eastAsia="Arial" w:hAnsi="Times New Roman"/>
                <w:sz w:val="28"/>
                <w:szCs w:val="28"/>
              </w:rPr>
            </w:pPr>
          </w:p>
        </w:tc>
      </w:tr>
    </w:tbl>
    <w:p w:rsidR="00227FEF" w:rsidRDefault="00494B9D">
      <w:pPr>
        <w:spacing w:before="120" w:after="120" w:line="276" w:lineRule="auto"/>
        <w:ind w:firstLine="708"/>
        <w:outlineLvl w:val="2"/>
      </w:pPr>
      <w:r>
        <w:rPr>
          <w:rFonts w:ascii="Times New Roman" w:eastAsia="Arial" w:hAnsi="Times New Roman"/>
          <w:b/>
          <w:bCs/>
          <w:sz w:val="28"/>
          <w:szCs w:val="28"/>
          <w:lang w:val="uk-UA" w:eastAsia="uk-UA"/>
        </w:rPr>
        <w:t>2.3. Мостові споруди</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На</w:t>
      </w:r>
      <w:r w:rsidRPr="005E48D4">
        <w:rPr>
          <w:rFonts w:ascii="Times New Roman" w:eastAsia="Arial" w:hAnsi="Times New Roman"/>
          <w:sz w:val="28"/>
          <w:szCs w:val="28"/>
        </w:rPr>
        <w:t xml:space="preserve"> </w:t>
      </w:r>
      <w:r>
        <w:rPr>
          <w:rFonts w:ascii="Times New Roman" w:eastAsia="Arial" w:hAnsi="Times New Roman"/>
          <w:sz w:val="28"/>
          <w:szCs w:val="28"/>
          <w:lang w:val="ru-RU"/>
        </w:rPr>
        <w:t>території</w:t>
      </w:r>
      <w:r w:rsidRPr="005E48D4">
        <w:rPr>
          <w:rFonts w:ascii="Times New Roman" w:eastAsia="Arial" w:hAnsi="Times New Roman"/>
          <w:sz w:val="28"/>
          <w:szCs w:val="28"/>
        </w:rPr>
        <w:t xml:space="preserve"> </w:t>
      </w:r>
      <w:r>
        <w:rPr>
          <w:rFonts w:ascii="Times New Roman" w:eastAsia="Arial" w:hAnsi="Times New Roman"/>
          <w:sz w:val="28"/>
          <w:szCs w:val="28"/>
          <w:lang w:val="ru-RU"/>
        </w:rPr>
        <w:t>громади</w:t>
      </w:r>
      <w:r w:rsidRPr="005E48D4">
        <w:rPr>
          <w:rFonts w:ascii="Times New Roman" w:eastAsia="Arial" w:hAnsi="Times New Roman"/>
          <w:sz w:val="28"/>
          <w:szCs w:val="28"/>
        </w:rPr>
        <w:t xml:space="preserve"> </w:t>
      </w:r>
      <w:r>
        <w:rPr>
          <w:rFonts w:ascii="Times New Roman" w:eastAsia="Arial" w:hAnsi="Times New Roman"/>
          <w:sz w:val="28"/>
          <w:szCs w:val="28"/>
          <w:lang w:val="ru-RU"/>
        </w:rPr>
        <w:t>функціонує</w:t>
      </w:r>
      <w:r w:rsidRPr="005E48D4">
        <w:rPr>
          <w:rFonts w:ascii="Times New Roman" w:eastAsia="Arial" w:hAnsi="Times New Roman"/>
          <w:sz w:val="28"/>
          <w:szCs w:val="28"/>
        </w:rPr>
        <w:t xml:space="preserve"> </w:t>
      </w:r>
      <w:r>
        <w:rPr>
          <w:rFonts w:ascii="Times New Roman" w:eastAsia="Arial" w:hAnsi="Times New Roman"/>
          <w:sz w:val="28"/>
          <w:szCs w:val="28"/>
          <w:lang w:val="ru-RU"/>
        </w:rPr>
        <w:t>значна</w:t>
      </w:r>
      <w:r w:rsidRPr="005E48D4">
        <w:rPr>
          <w:rFonts w:ascii="Times New Roman" w:eastAsia="Arial" w:hAnsi="Times New Roman"/>
          <w:sz w:val="28"/>
          <w:szCs w:val="28"/>
        </w:rPr>
        <w:t xml:space="preserve"> </w:t>
      </w:r>
      <w:r>
        <w:rPr>
          <w:rFonts w:ascii="Times New Roman" w:eastAsia="Arial" w:hAnsi="Times New Roman"/>
          <w:sz w:val="28"/>
          <w:szCs w:val="28"/>
          <w:lang w:val="ru-RU"/>
        </w:rPr>
        <w:t>кількість</w:t>
      </w:r>
      <w:r w:rsidRPr="005E48D4">
        <w:rPr>
          <w:rFonts w:ascii="Times New Roman" w:eastAsia="Arial" w:hAnsi="Times New Roman"/>
          <w:sz w:val="28"/>
          <w:szCs w:val="28"/>
        </w:rPr>
        <w:t xml:space="preserve"> </w:t>
      </w:r>
      <w:r>
        <w:rPr>
          <w:rFonts w:ascii="Times New Roman" w:eastAsia="Arial" w:hAnsi="Times New Roman"/>
          <w:sz w:val="28"/>
          <w:szCs w:val="28"/>
          <w:lang w:val="ru-RU"/>
        </w:rPr>
        <w:t>мостових</w:t>
      </w:r>
      <w:r w:rsidRPr="005E48D4">
        <w:rPr>
          <w:rFonts w:ascii="Times New Roman" w:eastAsia="Arial" w:hAnsi="Times New Roman"/>
          <w:sz w:val="28"/>
          <w:szCs w:val="28"/>
        </w:rPr>
        <w:t xml:space="preserve"> </w:t>
      </w:r>
      <w:r>
        <w:rPr>
          <w:rFonts w:ascii="Times New Roman" w:eastAsia="Arial" w:hAnsi="Times New Roman"/>
          <w:sz w:val="28"/>
          <w:szCs w:val="28"/>
          <w:lang w:val="ru-RU"/>
        </w:rPr>
        <w:t>та</w:t>
      </w:r>
      <w:r w:rsidRPr="005E48D4">
        <w:rPr>
          <w:rFonts w:ascii="Times New Roman" w:eastAsia="Arial" w:hAnsi="Times New Roman"/>
          <w:sz w:val="28"/>
          <w:szCs w:val="28"/>
        </w:rPr>
        <w:t xml:space="preserve"> </w:t>
      </w:r>
      <w:r>
        <w:rPr>
          <w:rFonts w:ascii="Times New Roman" w:eastAsia="Arial" w:hAnsi="Times New Roman"/>
          <w:sz w:val="28"/>
          <w:szCs w:val="28"/>
          <w:lang w:val="ru-RU"/>
        </w:rPr>
        <w:t>водопропускних</w:t>
      </w:r>
      <w:r w:rsidRPr="005E48D4">
        <w:rPr>
          <w:rFonts w:ascii="Times New Roman" w:eastAsia="Arial" w:hAnsi="Times New Roman"/>
          <w:sz w:val="28"/>
          <w:szCs w:val="28"/>
        </w:rPr>
        <w:t xml:space="preserve"> </w:t>
      </w:r>
      <w:r>
        <w:rPr>
          <w:rFonts w:ascii="Times New Roman" w:eastAsia="Arial" w:hAnsi="Times New Roman"/>
          <w:sz w:val="28"/>
          <w:szCs w:val="28"/>
          <w:lang w:val="ru-RU"/>
        </w:rPr>
        <w:t>споруд</w:t>
      </w:r>
      <w:r w:rsidRPr="005E48D4">
        <w:rPr>
          <w:rFonts w:ascii="Times New Roman" w:eastAsia="Arial" w:hAnsi="Times New Roman"/>
          <w:sz w:val="28"/>
          <w:szCs w:val="28"/>
        </w:rPr>
        <w:t xml:space="preserve"> </w:t>
      </w:r>
      <w:r>
        <w:rPr>
          <w:rFonts w:ascii="Times New Roman" w:eastAsia="Arial" w:hAnsi="Times New Roman"/>
          <w:sz w:val="28"/>
          <w:szCs w:val="28"/>
          <w:lang w:val="ru-RU"/>
        </w:rPr>
        <w:t>через</w:t>
      </w:r>
      <w:r w:rsidRPr="005E48D4">
        <w:rPr>
          <w:rFonts w:ascii="Times New Roman" w:eastAsia="Arial" w:hAnsi="Times New Roman"/>
          <w:sz w:val="28"/>
          <w:szCs w:val="28"/>
        </w:rPr>
        <w:t xml:space="preserve"> </w:t>
      </w:r>
      <w:r>
        <w:rPr>
          <w:rFonts w:ascii="Times New Roman" w:eastAsia="Arial" w:hAnsi="Times New Roman"/>
          <w:sz w:val="28"/>
          <w:szCs w:val="28"/>
          <w:lang w:val="ru-RU"/>
        </w:rPr>
        <w:t>річку</w:t>
      </w:r>
      <w:r w:rsidRPr="005E48D4">
        <w:rPr>
          <w:rFonts w:ascii="Times New Roman" w:eastAsia="Arial" w:hAnsi="Times New Roman"/>
          <w:sz w:val="28"/>
          <w:szCs w:val="28"/>
        </w:rPr>
        <w:t xml:space="preserve"> </w:t>
      </w:r>
      <w:r>
        <w:rPr>
          <w:rFonts w:ascii="Times New Roman" w:eastAsia="Arial" w:hAnsi="Times New Roman"/>
          <w:sz w:val="28"/>
          <w:szCs w:val="28"/>
          <w:lang w:val="ru-RU"/>
        </w:rPr>
        <w:t>Тур</w:t>
      </w:r>
      <w:r w:rsidRPr="005E48D4">
        <w:rPr>
          <w:rFonts w:ascii="Times New Roman" w:eastAsia="Arial" w:hAnsi="Times New Roman"/>
          <w:sz w:val="28"/>
          <w:szCs w:val="28"/>
        </w:rPr>
        <w:t>’</w:t>
      </w:r>
      <w:r>
        <w:rPr>
          <w:rFonts w:ascii="Times New Roman" w:eastAsia="Arial" w:hAnsi="Times New Roman"/>
          <w:sz w:val="28"/>
          <w:szCs w:val="28"/>
          <w:lang w:val="ru-RU"/>
        </w:rPr>
        <w:t>ю</w:t>
      </w:r>
      <w:r w:rsidRPr="005E48D4">
        <w:rPr>
          <w:rFonts w:ascii="Times New Roman" w:eastAsia="Arial" w:hAnsi="Times New Roman"/>
          <w:sz w:val="28"/>
          <w:szCs w:val="28"/>
        </w:rPr>
        <w:t xml:space="preserve"> </w:t>
      </w:r>
      <w:r>
        <w:rPr>
          <w:rFonts w:ascii="Times New Roman" w:eastAsia="Arial" w:hAnsi="Times New Roman"/>
          <w:sz w:val="28"/>
          <w:szCs w:val="28"/>
          <w:lang w:val="ru-RU"/>
        </w:rPr>
        <w:t>та</w:t>
      </w:r>
      <w:r w:rsidRPr="005E48D4">
        <w:rPr>
          <w:rFonts w:ascii="Times New Roman" w:eastAsia="Arial" w:hAnsi="Times New Roman"/>
          <w:sz w:val="28"/>
          <w:szCs w:val="28"/>
        </w:rPr>
        <w:t xml:space="preserve"> </w:t>
      </w:r>
      <w:r>
        <w:rPr>
          <w:rFonts w:ascii="Times New Roman" w:eastAsia="Arial" w:hAnsi="Times New Roman"/>
          <w:sz w:val="28"/>
          <w:szCs w:val="28"/>
          <w:lang w:val="ru-RU"/>
        </w:rPr>
        <w:t>її</w:t>
      </w:r>
      <w:r w:rsidRPr="005E48D4">
        <w:rPr>
          <w:rFonts w:ascii="Times New Roman" w:eastAsia="Arial" w:hAnsi="Times New Roman"/>
          <w:sz w:val="28"/>
          <w:szCs w:val="28"/>
        </w:rPr>
        <w:t xml:space="preserve"> </w:t>
      </w:r>
      <w:r>
        <w:rPr>
          <w:rFonts w:ascii="Times New Roman" w:eastAsia="Arial" w:hAnsi="Times New Roman"/>
          <w:sz w:val="28"/>
          <w:szCs w:val="28"/>
          <w:lang w:val="ru-RU"/>
        </w:rPr>
        <w:t>численні</w:t>
      </w:r>
      <w:r w:rsidRPr="005E48D4">
        <w:rPr>
          <w:rFonts w:ascii="Times New Roman" w:eastAsia="Arial" w:hAnsi="Times New Roman"/>
          <w:sz w:val="28"/>
          <w:szCs w:val="28"/>
        </w:rPr>
        <w:t xml:space="preserve"> </w:t>
      </w:r>
      <w:r>
        <w:rPr>
          <w:rFonts w:ascii="Times New Roman" w:eastAsia="Arial" w:hAnsi="Times New Roman"/>
          <w:sz w:val="28"/>
          <w:szCs w:val="28"/>
          <w:lang w:val="ru-RU"/>
        </w:rPr>
        <w:t>притоки</w:t>
      </w:r>
      <w:r w:rsidRPr="005E48D4">
        <w:rPr>
          <w:rFonts w:ascii="Times New Roman" w:eastAsia="Arial" w:hAnsi="Times New Roman"/>
          <w:sz w:val="28"/>
          <w:szCs w:val="28"/>
        </w:rPr>
        <w:t xml:space="preserve"> (</w:t>
      </w:r>
      <w:r>
        <w:rPr>
          <w:rFonts w:ascii="Times New Roman" w:eastAsia="Arial" w:hAnsi="Times New Roman"/>
          <w:sz w:val="28"/>
          <w:szCs w:val="28"/>
          <w:lang w:val="ru-RU"/>
        </w:rPr>
        <w:t>Туричка</w:t>
      </w:r>
      <w:r w:rsidRPr="005E48D4">
        <w:rPr>
          <w:rFonts w:ascii="Times New Roman" w:eastAsia="Arial" w:hAnsi="Times New Roman"/>
          <w:sz w:val="28"/>
          <w:szCs w:val="28"/>
        </w:rPr>
        <w:t xml:space="preserve">, </w:t>
      </w:r>
      <w:r>
        <w:rPr>
          <w:rFonts w:ascii="Times New Roman" w:eastAsia="Arial" w:hAnsi="Times New Roman"/>
          <w:sz w:val="28"/>
          <w:szCs w:val="28"/>
          <w:lang w:val="ru-RU"/>
        </w:rPr>
        <w:t>Тур</w:t>
      </w:r>
      <w:r w:rsidRPr="005E48D4">
        <w:rPr>
          <w:rFonts w:ascii="Times New Roman" w:eastAsia="Arial" w:hAnsi="Times New Roman"/>
          <w:sz w:val="28"/>
          <w:szCs w:val="28"/>
        </w:rPr>
        <w:t>’</w:t>
      </w:r>
      <w:r>
        <w:rPr>
          <w:rFonts w:ascii="Times New Roman" w:eastAsia="Arial" w:hAnsi="Times New Roman"/>
          <w:sz w:val="28"/>
          <w:szCs w:val="28"/>
          <w:lang w:val="ru-RU"/>
        </w:rPr>
        <w:t>я</w:t>
      </w:r>
      <w:r w:rsidRPr="005E48D4">
        <w:rPr>
          <w:rFonts w:ascii="Times New Roman" w:eastAsia="Arial" w:hAnsi="Times New Roman"/>
          <w:sz w:val="28"/>
          <w:szCs w:val="28"/>
        </w:rPr>
        <w:t>-</w:t>
      </w:r>
      <w:r>
        <w:rPr>
          <w:rFonts w:ascii="Times New Roman" w:eastAsia="Arial" w:hAnsi="Times New Roman"/>
          <w:sz w:val="28"/>
          <w:szCs w:val="28"/>
          <w:lang w:val="ru-RU"/>
        </w:rPr>
        <w:t>Бистра</w:t>
      </w:r>
      <w:r w:rsidRPr="005E48D4">
        <w:rPr>
          <w:rFonts w:ascii="Times New Roman" w:eastAsia="Arial" w:hAnsi="Times New Roman"/>
          <w:sz w:val="28"/>
          <w:szCs w:val="28"/>
        </w:rPr>
        <w:t xml:space="preserve"> </w:t>
      </w:r>
      <w:r>
        <w:rPr>
          <w:rFonts w:ascii="Times New Roman" w:eastAsia="Arial" w:hAnsi="Times New Roman"/>
          <w:sz w:val="28"/>
          <w:szCs w:val="28"/>
          <w:lang w:val="ru-RU"/>
        </w:rPr>
        <w:t>та</w:t>
      </w:r>
      <w:r w:rsidRPr="005E48D4">
        <w:rPr>
          <w:rFonts w:ascii="Times New Roman" w:eastAsia="Arial" w:hAnsi="Times New Roman"/>
          <w:sz w:val="28"/>
          <w:szCs w:val="28"/>
        </w:rPr>
        <w:t xml:space="preserve"> </w:t>
      </w:r>
      <w:r>
        <w:rPr>
          <w:rFonts w:ascii="Times New Roman" w:eastAsia="Arial" w:hAnsi="Times New Roman"/>
          <w:sz w:val="28"/>
          <w:szCs w:val="28"/>
          <w:lang w:val="ru-RU"/>
        </w:rPr>
        <w:t>інші</w:t>
      </w:r>
      <w:r w:rsidRPr="005E48D4">
        <w:rPr>
          <w:rFonts w:ascii="Times New Roman" w:eastAsia="Arial" w:hAnsi="Times New Roman"/>
          <w:sz w:val="28"/>
          <w:szCs w:val="28"/>
        </w:rPr>
        <w:t xml:space="preserve">). </w:t>
      </w:r>
      <w:r>
        <w:rPr>
          <w:rFonts w:ascii="Times New Roman" w:eastAsia="Arial" w:hAnsi="Times New Roman"/>
          <w:sz w:val="28"/>
          <w:szCs w:val="28"/>
          <w:lang w:val="ru-RU"/>
        </w:rPr>
        <w:t>Більшість мостів побудовано в радянський період (1960–1980-ті роки) та потребують капітального ремонту або заміни. Мостові споруди є критичними елементами інфраструктури: їх пошкодження під час паводків призводить до повної ізоляції окремих населених пунктів. Закарпаття має найвищу в Україні частоту паводків: з 1955 року зафіксовано понад 86 повеней, з яких катастрофічними були у 1998, 2001, 2008, 2010 та 2020 роках.</w:t>
      </w:r>
    </w:p>
    <w:p w:rsidR="00227FEF" w:rsidRDefault="00494B9D">
      <w:pPr>
        <w:spacing w:before="120" w:after="120" w:line="276" w:lineRule="auto"/>
        <w:ind w:firstLine="708"/>
        <w:outlineLvl w:val="1"/>
        <w:rPr>
          <w:rFonts w:ascii="Times New Roman" w:eastAsia="Arial" w:hAnsi="Times New Roman"/>
          <w:b/>
          <w:bCs/>
          <w:sz w:val="28"/>
          <w:szCs w:val="28"/>
          <w:lang w:val="uk-UA" w:eastAsia="uk-UA"/>
        </w:rPr>
      </w:pPr>
      <w:r>
        <w:rPr>
          <w:rFonts w:ascii="Times New Roman" w:eastAsia="Arial" w:hAnsi="Times New Roman"/>
          <w:b/>
          <w:bCs/>
          <w:sz w:val="28"/>
          <w:szCs w:val="28"/>
          <w:lang w:val="uk-UA" w:eastAsia="uk-UA"/>
        </w:rPr>
        <w:t>3. Інженерна інфраструктура</w:t>
      </w:r>
    </w:p>
    <w:p w:rsidR="00227FEF" w:rsidRPr="005E48D4" w:rsidRDefault="00494B9D">
      <w:pPr>
        <w:spacing w:before="120" w:after="120" w:line="276" w:lineRule="auto"/>
        <w:ind w:firstLine="708"/>
        <w:outlineLvl w:val="2"/>
        <w:rPr>
          <w:lang w:val="ru-RU"/>
        </w:rPr>
      </w:pPr>
      <w:r>
        <w:rPr>
          <w:rFonts w:ascii="Times New Roman" w:eastAsia="Arial" w:hAnsi="Times New Roman"/>
          <w:b/>
          <w:bCs/>
          <w:sz w:val="28"/>
          <w:szCs w:val="28"/>
          <w:lang w:val="uk-UA" w:eastAsia="uk-UA"/>
        </w:rPr>
        <w:t>3.1. Каналізація та водовідведення</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Централізоване водовідведення та очищення стічних вод на території громади фактично відсутнє. Населення користується переважно вигрібними ямами та локальними септиками. Це створює серйозні ризики забруднення ґрунтових вод та поверхневих водних об’єктів, що є особливо актуальним для гірської території з інтенсивним поверхневим стоком та високою швидкістю водообміну.</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 xml:space="preserve">Забруднення стоками річки Тур’ї та її приток негативно впливає на якість водних ресурсів усього водозбору, включаючи території нижче за течією. Будівництво централізованих або модульних очисних споруд хоча б у трьох найбільших населених пунктах (Тур’ї Ремети, Порошково, Тур’я Пасіка) є </w:t>
      </w:r>
      <w:r>
        <w:rPr>
          <w:rFonts w:ascii="Times New Roman" w:eastAsia="Arial" w:hAnsi="Times New Roman"/>
          <w:sz w:val="28"/>
          <w:szCs w:val="28"/>
          <w:lang w:val="ru-RU"/>
        </w:rPr>
        <w:lastRenderedPageBreak/>
        <w:t>нагальною потребою. Для малих сіл оптимальним рішенням є встановлення індивідуальних або групових біологічних очисних систем.</w:t>
      </w:r>
    </w:p>
    <w:p w:rsidR="00227FEF" w:rsidRPr="005E48D4" w:rsidRDefault="00494B9D">
      <w:pPr>
        <w:spacing w:before="120" w:after="120" w:line="276" w:lineRule="auto"/>
        <w:ind w:firstLine="708"/>
        <w:outlineLvl w:val="2"/>
        <w:rPr>
          <w:lang w:val="ru-RU"/>
        </w:rPr>
      </w:pPr>
      <w:r>
        <w:rPr>
          <w:rFonts w:ascii="Times New Roman" w:eastAsia="Arial" w:hAnsi="Times New Roman"/>
          <w:b/>
          <w:bCs/>
          <w:sz w:val="28"/>
          <w:szCs w:val="28"/>
          <w:lang w:val="uk-UA" w:eastAsia="uk-UA"/>
        </w:rPr>
        <w:t>3.2. Газопостачання та теплопостачання</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uk-UA"/>
        </w:rPr>
        <w:t>Газифіковано домогосподарства у с.Тур</w:t>
      </w:r>
      <w:r>
        <w:rPr>
          <w:rFonts w:ascii="Times New Roman" w:eastAsia="Arial" w:hAnsi="Times New Roman"/>
          <w:sz w:val="28"/>
          <w:szCs w:val="28"/>
          <w:lang w:val="ru-RU"/>
        </w:rPr>
        <w:t>’</w:t>
      </w:r>
      <w:r>
        <w:rPr>
          <w:rFonts w:ascii="Times New Roman" w:eastAsia="Arial" w:hAnsi="Times New Roman"/>
          <w:sz w:val="28"/>
          <w:szCs w:val="28"/>
          <w:lang w:val="uk-UA"/>
        </w:rPr>
        <w:t xml:space="preserve">ї Ремети   (орієнтовно 80 % домогосподарств). </w:t>
      </w:r>
      <w:r>
        <w:rPr>
          <w:rFonts w:ascii="Times New Roman" w:eastAsia="Arial" w:hAnsi="Times New Roman"/>
          <w:sz w:val="28"/>
          <w:szCs w:val="28"/>
          <w:lang w:val="ru-RU"/>
        </w:rPr>
        <w:t xml:space="preserve">Газорозподільні мережі обслуговуються закарпатським підрозділом оператора ГРМ. У всіх інших населених пунктах </w:t>
      </w:r>
      <w:proofErr w:type="gramStart"/>
      <w:r>
        <w:rPr>
          <w:rFonts w:ascii="Times New Roman" w:eastAsia="Arial" w:hAnsi="Times New Roman"/>
          <w:sz w:val="28"/>
          <w:szCs w:val="28"/>
          <w:lang w:val="ru-RU"/>
        </w:rPr>
        <w:t>використовуються  дрова</w:t>
      </w:r>
      <w:proofErr w:type="gramEnd"/>
      <w:r>
        <w:rPr>
          <w:rFonts w:ascii="Times New Roman" w:eastAsia="Arial" w:hAnsi="Times New Roman"/>
          <w:sz w:val="28"/>
          <w:szCs w:val="28"/>
          <w:lang w:val="ru-RU"/>
        </w:rPr>
        <w:t xml:space="preserve"> та інші види палива для опалення (деревне паливо становить основне джерело тепла для  80 % домогосподарств).</w:t>
      </w:r>
    </w:p>
    <w:p w:rsidR="00227FEF" w:rsidRDefault="00494B9D" w:rsidP="00F155F9">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 xml:space="preserve">Висока залежність від дров підвищує навантаження на лісові ресурси, негативно впливає на якість повітря (дим, тверді частинки </w:t>
      </w:r>
      <w:r>
        <w:rPr>
          <w:rFonts w:ascii="Times New Roman" w:eastAsia="Arial" w:hAnsi="Times New Roman"/>
          <w:sz w:val="28"/>
          <w:szCs w:val="28"/>
        </w:rPr>
        <w:t>PM</w:t>
      </w:r>
      <w:r>
        <w:rPr>
          <w:rFonts w:ascii="Times New Roman" w:eastAsia="Arial" w:hAnsi="Times New Roman"/>
          <w:sz w:val="28"/>
          <w:szCs w:val="28"/>
          <w:lang w:val="ru-RU"/>
        </w:rPr>
        <w:t>2.5) та вимагає значних фізичних зусиль від населення, переважно похилого віку. Актуальними альтернативами є встановлення котелень на деревній біомасі (пелети, брикети) у соціальних об’єктах, розвиток сонячної енергетики для гарячого водопостачання та поступовий перехід на сучасні енергоефективні системи опалення.</w:t>
      </w:r>
    </w:p>
    <w:p w:rsidR="00227FEF" w:rsidRPr="005E48D4" w:rsidRDefault="00494B9D">
      <w:pPr>
        <w:spacing w:before="120" w:after="120" w:line="276" w:lineRule="auto"/>
        <w:ind w:firstLine="708"/>
        <w:outlineLvl w:val="2"/>
        <w:rPr>
          <w:lang w:val="ru-RU"/>
        </w:rPr>
      </w:pPr>
      <w:r>
        <w:rPr>
          <w:rFonts w:ascii="Times New Roman" w:eastAsia="Arial" w:hAnsi="Times New Roman"/>
          <w:b/>
          <w:bCs/>
          <w:sz w:val="28"/>
          <w:szCs w:val="28"/>
          <w:lang w:val="uk-UA" w:eastAsia="uk-UA"/>
        </w:rPr>
        <w:t>3.3. Електропостачання та вітроенергетика</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Усі 17 населених пунктів громади підключені до централізованої електромережі, що обслуговується ПрАТ «Закарпаттяобленерго». Однак електромережі переважно застарілі (побудовані в 1960–1980-х роках), що призводить до частих перебоїв з електропостачанням, особливо у зимовий період та під час негоди. Потужність мережі в окремих селах є недостатньою для підключення нових споживачів та розвитку підприємництва. Втрати електроенергії в мережі перевищують нормативні показники.</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В умовах воєнного часу стійкість електропостачання набуває стратегічного значення. Масовані удари по енергоінфраструктурі України спричинили тривалі відключення електроенергії, що вплинуло і на Закарпаття. Децентралізація генерації шляхом розвитку відновлюваних джерел енергії є одним з пріоритетів державної енергетичної політики.</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Принципово новим етапом розвитку енергетичної інфраструктури громади є реалізація проєкту вітрової електростанції «Полонина Руна». Це один з найбільших проєктів зеленої енергетики в Карпатському регіоні.</w:t>
      </w:r>
    </w:p>
    <w:p w:rsidR="00227FEF" w:rsidRDefault="00494B9D">
      <w:pPr>
        <w:spacing w:before="240" w:after="120"/>
        <w:jc w:val="center"/>
        <w:rPr>
          <w:rFonts w:ascii="Times New Roman" w:hAnsi="Times New Roman"/>
          <w:sz w:val="28"/>
          <w:szCs w:val="28"/>
          <w:lang w:val="ru-RU"/>
        </w:rPr>
      </w:pPr>
      <w:r>
        <w:rPr>
          <w:rFonts w:ascii="Times New Roman" w:eastAsia="Arial" w:hAnsi="Times New Roman"/>
          <w:b/>
          <w:bCs/>
          <w:sz w:val="28"/>
          <w:szCs w:val="28"/>
          <w:lang w:val="ru-RU"/>
        </w:rPr>
        <w:t>Таблиця 7.</w:t>
      </w:r>
      <w:r>
        <w:rPr>
          <w:rFonts w:ascii="Times New Roman" w:eastAsia="Arial" w:hAnsi="Times New Roman"/>
          <w:sz w:val="28"/>
          <w:szCs w:val="28"/>
          <w:lang w:val="ru-RU"/>
        </w:rPr>
        <w:t xml:space="preserve"> Параметри проєкту ВЕС «Полонина Руна»</w:t>
      </w:r>
    </w:p>
    <w:tbl>
      <w:tblPr>
        <w:tblW w:w="9360" w:type="dxa"/>
        <w:tblLayout w:type="fixed"/>
        <w:tblCellMar>
          <w:top w:w="60" w:type="dxa"/>
          <w:left w:w="100" w:type="dxa"/>
          <w:bottom w:w="60" w:type="dxa"/>
          <w:right w:w="100" w:type="dxa"/>
        </w:tblCellMar>
        <w:tblLook w:val="0000" w:firstRow="0" w:lastRow="0" w:firstColumn="0" w:lastColumn="0" w:noHBand="0" w:noVBand="0"/>
      </w:tblPr>
      <w:tblGrid>
        <w:gridCol w:w="4000"/>
        <w:gridCol w:w="5360"/>
      </w:tblGrid>
      <w:tr w:rsidR="00227FEF">
        <w:tc>
          <w:tcPr>
            <w:tcW w:w="40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t>Параметр</w:t>
            </w:r>
          </w:p>
        </w:tc>
        <w:tc>
          <w:tcPr>
            <w:tcW w:w="53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t>Значення</w:t>
            </w:r>
          </w:p>
        </w:tc>
      </w:tr>
      <w:tr w:rsidR="00227FEF">
        <w:tc>
          <w:tcPr>
            <w:tcW w:w="40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Назва проєкту</w:t>
            </w:r>
          </w:p>
        </w:tc>
        <w:tc>
          <w:tcPr>
            <w:tcW w:w="536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ВЕС «Полонина Руна»</w:t>
            </w:r>
          </w:p>
        </w:tc>
      </w:tr>
      <w:tr w:rsidR="00227FEF">
        <w:tc>
          <w:tcPr>
            <w:tcW w:w="40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lastRenderedPageBreak/>
              <w:t>Тип</w:t>
            </w:r>
          </w:p>
        </w:tc>
        <w:tc>
          <w:tcPr>
            <w:tcW w:w="536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Вітрова електростанція (оншорна)</w:t>
            </w:r>
          </w:p>
        </w:tc>
      </w:tr>
      <w:tr w:rsidR="00227FEF">
        <w:tc>
          <w:tcPr>
            <w:tcW w:w="40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Кількість турбін</w:t>
            </w:r>
          </w:p>
        </w:tc>
        <w:tc>
          <w:tcPr>
            <w:tcW w:w="536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30</w:t>
            </w:r>
          </w:p>
        </w:tc>
      </w:tr>
      <w:tr w:rsidR="00227FEF">
        <w:tc>
          <w:tcPr>
            <w:tcW w:w="40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Потужність однієї турбіни</w:t>
            </w:r>
          </w:p>
        </w:tc>
        <w:tc>
          <w:tcPr>
            <w:tcW w:w="536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5,5 МВт</w:t>
            </w:r>
          </w:p>
        </w:tc>
      </w:tr>
      <w:tr w:rsidR="00227FEF">
        <w:tc>
          <w:tcPr>
            <w:tcW w:w="40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Загальна потужність</w:t>
            </w:r>
          </w:p>
        </w:tc>
        <w:tc>
          <w:tcPr>
            <w:tcW w:w="536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156 МВт</w:t>
            </w:r>
          </w:p>
        </w:tc>
      </w:tr>
      <w:tr w:rsidR="00227FEF">
        <w:tc>
          <w:tcPr>
            <w:tcW w:w="40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Прогнозний річний виробіток</w:t>
            </w:r>
          </w:p>
        </w:tc>
        <w:tc>
          <w:tcPr>
            <w:tcW w:w="536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~480 ГВт·год (забезпечення ~235 000 домогосподарств)</w:t>
            </w:r>
          </w:p>
        </w:tc>
      </w:tr>
      <w:tr w:rsidR="00227FEF" w:rsidRPr="00F155F9">
        <w:tc>
          <w:tcPr>
            <w:tcW w:w="40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Замовник / інвестор</w:t>
            </w:r>
          </w:p>
        </w:tc>
        <w:tc>
          <w:tcPr>
            <w:tcW w:w="536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ТОВ «Вітряний Парк Турянський» / УК «Вітрові Парки України»</w:t>
            </w:r>
          </w:p>
        </w:tc>
      </w:tr>
      <w:tr w:rsidR="00227FEF">
        <w:tc>
          <w:tcPr>
            <w:tcW w:w="40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Генпідрядник</w:t>
            </w:r>
          </w:p>
        </w:tc>
        <w:tc>
          <w:tcPr>
            <w:tcW w:w="536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ТОВ «Friendly Wind Technology»</w:t>
            </w:r>
          </w:p>
        </w:tc>
      </w:tr>
      <w:tr w:rsidR="00227FEF">
        <w:tc>
          <w:tcPr>
            <w:tcW w:w="40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Фінансовий партнер</w:t>
            </w:r>
          </w:p>
        </w:tc>
        <w:tc>
          <w:tcPr>
            <w:tcW w:w="536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АТ «Ощадбанк»</w:t>
            </w:r>
          </w:p>
        </w:tc>
      </w:tr>
      <w:tr w:rsidR="00227FEF">
        <w:tc>
          <w:tcPr>
            <w:tcW w:w="40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Обсяг інвестицій</w:t>
            </w:r>
          </w:p>
        </w:tc>
        <w:tc>
          <w:tcPr>
            <w:tcW w:w="536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€170–220 млн</w:t>
            </w:r>
          </w:p>
        </w:tc>
      </w:tr>
      <w:tr w:rsidR="00227FEF">
        <w:tc>
          <w:tcPr>
            <w:tcW w:w="40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Висновок ОВД</w:t>
            </w:r>
          </w:p>
        </w:tc>
        <w:tc>
          <w:tcPr>
            <w:tcW w:w="536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Позитивний (Мінекономіки, лютий 2026 р.)</w:t>
            </w:r>
          </w:p>
        </w:tc>
      </w:tr>
      <w:tr w:rsidR="00227FEF" w:rsidRPr="00F155F9">
        <w:tc>
          <w:tcPr>
            <w:tcW w:w="40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Соціальне партнерство</w:t>
            </w:r>
          </w:p>
        </w:tc>
        <w:tc>
          <w:tcPr>
            <w:tcW w:w="536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3 % від продажу електроенергії → ~50 млн грн/рік до бюджету громади</w:t>
            </w:r>
          </w:p>
        </w:tc>
      </w:tr>
      <w:tr w:rsidR="00227FEF">
        <w:tc>
          <w:tcPr>
            <w:tcW w:w="40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b/>
                <w:bCs/>
                <w:color w:val="000000"/>
                <w:sz w:val="28"/>
                <w:szCs w:val="28"/>
                <w:lang w:val="ru-RU"/>
              </w:rPr>
              <w:t>Вже сплачено у підготовчий період</w:t>
            </w:r>
          </w:p>
        </w:tc>
        <w:tc>
          <w:tcPr>
            <w:tcW w:w="536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~3 млн грн</w:t>
            </w:r>
          </w:p>
        </w:tc>
      </w:tr>
      <w:tr w:rsidR="00227FEF">
        <w:tc>
          <w:tcPr>
            <w:tcW w:w="40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Етап реалізації</w:t>
            </w:r>
          </w:p>
        </w:tc>
        <w:tc>
          <w:tcPr>
            <w:tcW w:w="536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Підготовчий (будівництво під’їзних доріг, майданчиків)</w:t>
            </w:r>
          </w:p>
        </w:tc>
      </w:tr>
    </w:tbl>
    <w:p w:rsidR="00227FEF" w:rsidRDefault="00494B9D">
      <w:pPr>
        <w:spacing w:before="120" w:after="120" w:line="276" w:lineRule="auto"/>
        <w:ind w:firstLine="708"/>
        <w:jc w:val="both"/>
        <w:rPr>
          <w:rFonts w:ascii="Times New Roman" w:hAnsi="Times New Roman"/>
          <w:sz w:val="28"/>
          <w:szCs w:val="28"/>
        </w:rPr>
      </w:pPr>
      <w:r>
        <w:rPr>
          <w:rFonts w:ascii="Times New Roman" w:eastAsia="Arial" w:hAnsi="Times New Roman"/>
          <w:sz w:val="28"/>
          <w:szCs w:val="28"/>
        </w:rPr>
        <w:t>Реалізація проєкту суттєво підвищить енергетичну стійкість громади та регіону, створить десятки нових робочих місць (будівництво та обслуговування) та забезпечить щорічні надходження до місцевого бюджету орієнтовно 50 млн грн/рік за угодою про соціальне партнерство (3 % від продажу електроенергії). Це кратно перевищує нинішній річний бюджет громади і відкриває принципово нові можливості для інвестицій у всі види інфраструктури.</w:t>
      </w:r>
    </w:p>
    <w:p w:rsidR="00227FEF" w:rsidRPr="005E48D4" w:rsidRDefault="00494B9D">
      <w:pPr>
        <w:spacing w:before="120" w:after="120" w:line="276" w:lineRule="auto"/>
        <w:ind w:firstLine="708"/>
        <w:outlineLvl w:val="2"/>
        <w:rPr>
          <w:lang w:val="ru-RU"/>
        </w:rPr>
      </w:pPr>
      <w:r>
        <w:rPr>
          <w:rFonts w:ascii="Times New Roman" w:eastAsia="Arial" w:hAnsi="Times New Roman"/>
          <w:b/>
          <w:bCs/>
          <w:sz w:val="28"/>
          <w:szCs w:val="28"/>
          <w:lang w:val="uk-UA" w:eastAsia="uk-UA"/>
        </w:rPr>
        <w:t>3.4. Вуличне освітлення</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 xml:space="preserve">Вуличне освітлення наявне у всіх населених пунктах. Більшість світильників є застарілими (лампи ДРЛ), що призводить до високого енергоспоживання. Модернізація системи вуличного освітлення з переходом на </w:t>
      </w:r>
      <w:r>
        <w:rPr>
          <w:rFonts w:ascii="Times New Roman" w:eastAsia="Arial" w:hAnsi="Times New Roman"/>
          <w:sz w:val="28"/>
          <w:szCs w:val="28"/>
        </w:rPr>
        <w:t>LED</w:t>
      </w:r>
      <w:r>
        <w:rPr>
          <w:rFonts w:ascii="Times New Roman" w:eastAsia="Arial" w:hAnsi="Times New Roman"/>
          <w:sz w:val="28"/>
          <w:szCs w:val="28"/>
          <w:lang w:val="ru-RU"/>
        </w:rPr>
        <w:t>-технології дозволить знизити енерговитрати на 60–70 % та підвищити безпеку руху та комфорт мешканців. Впровадження автоматизованих систем управління освітленням (датчики руху, фотореле) є доцільним для оптимізації витрат.</w:t>
      </w:r>
    </w:p>
    <w:p w:rsidR="00227FEF" w:rsidRPr="005E48D4" w:rsidRDefault="00494B9D">
      <w:pPr>
        <w:spacing w:before="120" w:after="120" w:line="276" w:lineRule="auto"/>
        <w:ind w:firstLine="708"/>
        <w:outlineLvl w:val="1"/>
        <w:rPr>
          <w:lang w:val="ru-RU"/>
        </w:rPr>
      </w:pPr>
      <w:r>
        <w:rPr>
          <w:rFonts w:ascii="Times New Roman" w:eastAsia="Arial" w:hAnsi="Times New Roman"/>
          <w:b/>
          <w:bCs/>
          <w:sz w:val="28"/>
          <w:szCs w:val="28"/>
          <w:lang w:val="ru-RU" w:eastAsia="uk-UA"/>
        </w:rPr>
        <w:t>4</w:t>
      </w:r>
      <w:r>
        <w:rPr>
          <w:rFonts w:ascii="Times New Roman" w:eastAsia="Arial" w:hAnsi="Times New Roman"/>
          <w:b/>
          <w:bCs/>
          <w:sz w:val="28"/>
          <w:szCs w:val="28"/>
          <w:lang w:val="uk-UA" w:eastAsia="uk-UA"/>
        </w:rPr>
        <w:t>. Цифрова інфраструктура та телекомунікації</w:t>
      </w:r>
    </w:p>
    <w:p w:rsidR="00227FEF" w:rsidRDefault="00494B9D">
      <w:pPr>
        <w:spacing w:before="120" w:after="120" w:line="276" w:lineRule="auto"/>
        <w:ind w:firstLine="708"/>
        <w:outlineLvl w:val="2"/>
        <w:rPr>
          <w:rFonts w:ascii="Times New Roman" w:eastAsia="Arial" w:hAnsi="Times New Roman"/>
          <w:b/>
          <w:bCs/>
          <w:sz w:val="28"/>
          <w:szCs w:val="28"/>
          <w:lang w:val="uk-UA" w:eastAsia="uk-UA"/>
        </w:rPr>
      </w:pPr>
      <w:r>
        <w:rPr>
          <w:rFonts w:ascii="Times New Roman" w:eastAsia="Arial" w:hAnsi="Times New Roman"/>
          <w:b/>
          <w:bCs/>
          <w:sz w:val="28"/>
          <w:szCs w:val="28"/>
          <w:lang w:val="uk-UA" w:eastAsia="uk-UA"/>
        </w:rPr>
        <w:lastRenderedPageBreak/>
        <w:t>4.1. Мобільний зв’язок та Інтернет</w:t>
      </w:r>
    </w:p>
    <w:p w:rsidR="00227FEF" w:rsidRPr="005E48D4" w:rsidRDefault="00494B9D">
      <w:pPr>
        <w:spacing w:before="120" w:after="120" w:line="276" w:lineRule="auto"/>
        <w:ind w:firstLine="708"/>
        <w:jc w:val="both"/>
        <w:rPr>
          <w:lang w:val="ru-RU"/>
        </w:rPr>
      </w:pPr>
      <w:r>
        <w:rPr>
          <w:rFonts w:ascii="Times New Roman" w:eastAsia="Arial" w:hAnsi="Times New Roman"/>
          <w:sz w:val="28"/>
          <w:szCs w:val="28"/>
          <w:lang w:val="ru-RU"/>
        </w:rPr>
        <w:t>Стан цифрової інфраструктури є одним із найгостріших інфраструктурних викликів. Покриття мобільним зв’язком стандарту 4</w:t>
      </w:r>
      <w:r>
        <w:rPr>
          <w:rFonts w:ascii="Times New Roman" w:eastAsia="Arial" w:hAnsi="Times New Roman"/>
          <w:sz w:val="28"/>
          <w:szCs w:val="28"/>
        </w:rPr>
        <w:t>G</w:t>
      </w:r>
      <w:r>
        <w:rPr>
          <w:rFonts w:ascii="Times New Roman" w:eastAsia="Arial" w:hAnsi="Times New Roman"/>
          <w:sz w:val="28"/>
          <w:szCs w:val="28"/>
          <w:lang w:val="ru-RU"/>
        </w:rPr>
        <w:t xml:space="preserve"> наявне лише у великих населених пунктах (Тур’ї Ремети, Порошково, Тур’я Пасіка) та вздовж основної автодороги. У гірських та віддален</w:t>
      </w:r>
      <w:r w:rsidR="0093226E">
        <w:rPr>
          <w:rFonts w:ascii="Times New Roman" w:eastAsia="Arial" w:hAnsi="Times New Roman"/>
          <w:sz w:val="28"/>
          <w:szCs w:val="28"/>
          <w:lang w:val="ru-RU"/>
        </w:rPr>
        <w:t>их селах зв’язок є нестабільним</w:t>
      </w:r>
      <w:r>
        <w:rPr>
          <w:rFonts w:ascii="Times New Roman" w:eastAsia="Arial" w:hAnsi="Times New Roman"/>
          <w:sz w:val="28"/>
          <w:szCs w:val="28"/>
          <w:lang w:val="ru-RU"/>
        </w:rPr>
        <w:t>.</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 xml:space="preserve">За даними карт покриття операторів, ситуація виглядає так: </w:t>
      </w:r>
      <w:r>
        <w:rPr>
          <w:rFonts w:ascii="Times New Roman" w:eastAsia="Arial" w:hAnsi="Times New Roman"/>
          <w:sz w:val="28"/>
          <w:szCs w:val="28"/>
        </w:rPr>
        <w:t>Kyivstar</w:t>
      </w:r>
      <w:r>
        <w:rPr>
          <w:rFonts w:ascii="Times New Roman" w:eastAsia="Arial" w:hAnsi="Times New Roman"/>
          <w:sz w:val="28"/>
          <w:szCs w:val="28"/>
          <w:lang w:val="ru-RU"/>
        </w:rPr>
        <w:t xml:space="preserve"> забезпечує найкраще покриття в гірських селах та на трасах; </w:t>
      </w:r>
      <w:r>
        <w:rPr>
          <w:rFonts w:ascii="Times New Roman" w:eastAsia="Arial" w:hAnsi="Times New Roman"/>
          <w:sz w:val="28"/>
          <w:szCs w:val="28"/>
        </w:rPr>
        <w:t>Vodafone</w:t>
      </w:r>
      <w:r>
        <w:rPr>
          <w:rFonts w:ascii="Times New Roman" w:eastAsia="Arial" w:hAnsi="Times New Roman"/>
          <w:sz w:val="28"/>
          <w:szCs w:val="28"/>
          <w:lang w:val="ru-RU"/>
        </w:rPr>
        <w:t xml:space="preserve"> працює стабільно переважно у великих населених пунктах, гірше — у глибоких долинах; </w:t>
      </w:r>
      <w:r>
        <w:rPr>
          <w:rFonts w:ascii="Times New Roman" w:eastAsia="Arial" w:hAnsi="Times New Roman"/>
          <w:sz w:val="28"/>
          <w:szCs w:val="28"/>
        </w:rPr>
        <w:t>lifecell</w:t>
      </w:r>
      <w:r>
        <w:rPr>
          <w:rFonts w:ascii="Times New Roman" w:eastAsia="Arial" w:hAnsi="Times New Roman"/>
          <w:sz w:val="28"/>
          <w:szCs w:val="28"/>
          <w:lang w:val="ru-RU"/>
        </w:rPr>
        <w:t xml:space="preserve"> має найслабше покриття в регіоні. На гірських хребтах (Полонина Руна та інші) сигнал є лише епізодично — переважно на вершинах, а в лісах та кулуарах зникає повністю. У віддалених селах (Лумшори, Лікіцари, Завбуч, Свалявка) зв’язок забезпечується лише </w:t>
      </w:r>
      <w:r>
        <w:rPr>
          <w:rFonts w:ascii="Times New Roman" w:eastAsia="Arial" w:hAnsi="Times New Roman"/>
          <w:sz w:val="28"/>
          <w:szCs w:val="28"/>
        </w:rPr>
        <w:t>Kyivstar</w:t>
      </w:r>
      <w:r>
        <w:rPr>
          <w:rFonts w:ascii="Times New Roman" w:eastAsia="Arial" w:hAnsi="Times New Roman"/>
          <w:sz w:val="28"/>
          <w:szCs w:val="28"/>
          <w:lang w:val="ru-RU"/>
        </w:rPr>
        <w:t xml:space="preserve"> з перебоями.</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Оптоволоконний Інтернет на території громади наявний. Середня швидкість Інтернету в гірських селах оцінюється на рівні 5–15 Мбіт/с, що є недостатнім для повноцінної дистанційної роботи чи навчання.</w:t>
      </w:r>
    </w:p>
    <w:p w:rsidR="00227FEF" w:rsidRDefault="00494B9D">
      <w:pPr>
        <w:spacing w:before="120" w:after="120" w:line="276" w:lineRule="auto"/>
        <w:ind w:firstLine="708"/>
        <w:outlineLvl w:val="2"/>
        <w:rPr>
          <w:rFonts w:ascii="Times New Roman" w:eastAsia="Arial" w:hAnsi="Times New Roman"/>
          <w:b/>
          <w:bCs/>
          <w:sz w:val="28"/>
          <w:szCs w:val="28"/>
          <w:lang w:val="uk-UA" w:eastAsia="uk-UA"/>
        </w:rPr>
      </w:pPr>
      <w:r>
        <w:rPr>
          <w:rFonts w:ascii="Times New Roman" w:eastAsia="Arial" w:hAnsi="Times New Roman"/>
          <w:b/>
          <w:bCs/>
          <w:sz w:val="28"/>
          <w:szCs w:val="28"/>
          <w:lang w:val="uk-UA" w:eastAsia="uk-UA"/>
        </w:rPr>
        <w:t>4.2. Вплив цифрової інфраструктури на соціально-економічний розвиток</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Недостатній розвиток цифрової інфраструктури стримує цілий ряд критично важливих напрямів:</w:t>
      </w:r>
    </w:p>
    <w:p w:rsidR="00227FEF" w:rsidRDefault="00494B9D">
      <w:pPr>
        <w:numPr>
          <w:ilvl w:val="0"/>
          <w:numId w:val="22"/>
        </w:numPr>
        <w:spacing w:before="60" w:after="60" w:line="276" w:lineRule="auto"/>
        <w:jc w:val="both"/>
        <w:rPr>
          <w:rFonts w:ascii="Times New Roman" w:eastAsia="Arial" w:hAnsi="Times New Roman"/>
          <w:sz w:val="28"/>
          <w:szCs w:val="28"/>
          <w:lang w:val="uk-UA" w:eastAsia="uk-UA"/>
        </w:rPr>
      </w:pPr>
      <w:r>
        <w:rPr>
          <w:rFonts w:ascii="Times New Roman" w:eastAsia="Arial" w:hAnsi="Times New Roman"/>
          <w:b/>
          <w:bCs/>
          <w:sz w:val="28"/>
          <w:szCs w:val="28"/>
          <w:lang w:val="uk-UA" w:eastAsia="uk-UA"/>
        </w:rPr>
        <w:t xml:space="preserve">Дистанційне навчання: </w:t>
      </w:r>
      <w:r>
        <w:rPr>
          <w:rFonts w:ascii="Times New Roman" w:eastAsia="Arial" w:hAnsi="Times New Roman"/>
          <w:sz w:val="28"/>
          <w:szCs w:val="28"/>
          <w:lang w:val="uk-UA" w:eastAsia="uk-UA"/>
        </w:rPr>
        <w:t>критично для малокомплектних шкіл у малих селах, де неможливо забезпечити повний спектр предметів; відеоконференції та онлайн-уроки вимагають стабільного Інтернету.</w:t>
      </w:r>
    </w:p>
    <w:p w:rsidR="00227FEF" w:rsidRDefault="00494B9D">
      <w:pPr>
        <w:numPr>
          <w:ilvl w:val="0"/>
          <w:numId w:val="2"/>
        </w:numPr>
        <w:spacing w:before="60" w:after="60" w:line="276" w:lineRule="auto"/>
        <w:jc w:val="both"/>
        <w:rPr>
          <w:rFonts w:ascii="Times New Roman" w:eastAsia="Arial" w:hAnsi="Times New Roman"/>
          <w:sz w:val="28"/>
          <w:szCs w:val="28"/>
          <w:lang w:val="uk-UA" w:eastAsia="uk-UA"/>
        </w:rPr>
      </w:pPr>
      <w:r>
        <w:rPr>
          <w:rFonts w:ascii="Times New Roman" w:eastAsia="Arial" w:hAnsi="Times New Roman"/>
          <w:b/>
          <w:bCs/>
          <w:sz w:val="28"/>
          <w:szCs w:val="28"/>
          <w:lang w:val="uk-UA" w:eastAsia="uk-UA"/>
        </w:rPr>
        <w:t xml:space="preserve">Телемедицина: </w:t>
      </w:r>
      <w:r>
        <w:rPr>
          <w:rFonts w:ascii="Times New Roman" w:eastAsia="Arial" w:hAnsi="Times New Roman"/>
          <w:sz w:val="28"/>
          <w:szCs w:val="28"/>
          <w:lang w:val="uk-UA" w:eastAsia="uk-UA"/>
        </w:rPr>
        <w:t>забезпечення дистанційних консультацій спеціалістів для мешканців віддалених сіл, де відсутні лікарі; передача медичних даних, результатів аналізів.</w:t>
      </w:r>
    </w:p>
    <w:p w:rsidR="00227FEF" w:rsidRDefault="00494B9D">
      <w:pPr>
        <w:numPr>
          <w:ilvl w:val="0"/>
          <w:numId w:val="2"/>
        </w:numPr>
        <w:spacing w:before="60" w:after="60" w:line="276" w:lineRule="auto"/>
        <w:jc w:val="both"/>
        <w:rPr>
          <w:rFonts w:ascii="Times New Roman" w:eastAsia="Arial" w:hAnsi="Times New Roman"/>
          <w:sz w:val="28"/>
          <w:szCs w:val="28"/>
          <w:lang w:val="uk-UA" w:eastAsia="uk-UA"/>
        </w:rPr>
      </w:pPr>
      <w:r>
        <w:rPr>
          <w:rFonts w:ascii="Times New Roman" w:eastAsia="Arial" w:hAnsi="Times New Roman"/>
          <w:b/>
          <w:bCs/>
          <w:sz w:val="28"/>
          <w:szCs w:val="28"/>
          <w:lang w:val="uk-UA" w:eastAsia="uk-UA"/>
        </w:rPr>
        <w:t xml:space="preserve">Дистанційна зайнятість: </w:t>
      </w:r>
      <w:r>
        <w:rPr>
          <w:rFonts w:ascii="Times New Roman" w:eastAsia="Arial" w:hAnsi="Times New Roman"/>
          <w:sz w:val="28"/>
          <w:szCs w:val="28"/>
          <w:lang w:val="uk-UA" w:eastAsia="uk-UA"/>
        </w:rPr>
        <w:t>можливість працювати онлайн для молоді — ключовий фактор повернення з міст; розвиток фрілансу, IT-послуг, онлайн-торгівлі.</w:t>
      </w:r>
    </w:p>
    <w:p w:rsidR="00227FEF" w:rsidRDefault="00494B9D">
      <w:pPr>
        <w:numPr>
          <w:ilvl w:val="0"/>
          <w:numId w:val="2"/>
        </w:numPr>
        <w:spacing w:before="60" w:after="60" w:line="276" w:lineRule="auto"/>
        <w:jc w:val="both"/>
        <w:rPr>
          <w:rFonts w:ascii="Times New Roman" w:eastAsia="Arial" w:hAnsi="Times New Roman"/>
          <w:sz w:val="28"/>
          <w:szCs w:val="28"/>
          <w:lang w:val="uk-UA" w:eastAsia="uk-UA"/>
        </w:rPr>
      </w:pPr>
      <w:r>
        <w:rPr>
          <w:rFonts w:ascii="Times New Roman" w:eastAsia="Arial" w:hAnsi="Times New Roman"/>
          <w:b/>
          <w:bCs/>
          <w:sz w:val="28"/>
          <w:szCs w:val="28"/>
          <w:lang w:val="uk-UA" w:eastAsia="uk-UA"/>
        </w:rPr>
        <w:t xml:space="preserve">Електронні послуги: </w:t>
      </w:r>
      <w:r>
        <w:rPr>
          <w:rFonts w:ascii="Times New Roman" w:eastAsia="Arial" w:hAnsi="Times New Roman"/>
          <w:sz w:val="28"/>
          <w:szCs w:val="28"/>
          <w:lang w:val="uk-UA" w:eastAsia="uk-UA"/>
        </w:rPr>
        <w:t>надання адмінпослуг через Дію та інші платформи; е-декларування, е-реєстрація, електронний документообіг.</w:t>
      </w:r>
    </w:p>
    <w:p w:rsidR="00227FEF" w:rsidRDefault="00494B9D">
      <w:pPr>
        <w:numPr>
          <w:ilvl w:val="0"/>
          <w:numId w:val="2"/>
        </w:numPr>
        <w:spacing w:before="60" w:after="60" w:line="276" w:lineRule="auto"/>
        <w:jc w:val="both"/>
        <w:rPr>
          <w:rFonts w:ascii="Times New Roman" w:eastAsia="Arial" w:hAnsi="Times New Roman"/>
          <w:sz w:val="28"/>
          <w:szCs w:val="28"/>
          <w:lang w:val="uk-UA" w:eastAsia="uk-UA"/>
        </w:rPr>
      </w:pPr>
      <w:r>
        <w:rPr>
          <w:rFonts w:ascii="Times New Roman" w:eastAsia="Arial" w:hAnsi="Times New Roman"/>
          <w:b/>
          <w:bCs/>
          <w:sz w:val="28"/>
          <w:szCs w:val="28"/>
          <w:lang w:val="uk-UA" w:eastAsia="uk-UA"/>
        </w:rPr>
        <w:t xml:space="preserve">Цифрове підприємництво: </w:t>
      </w:r>
      <w:r>
        <w:rPr>
          <w:rFonts w:ascii="Times New Roman" w:eastAsia="Arial" w:hAnsi="Times New Roman"/>
          <w:sz w:val="28"/>
          <w:szCs w:val="28"/>
          <w:lang w:val="uk-UA" w:eastAsia="uk-UA"/>
        </w:rPr>
        <w:t>онлайн-маркетинг для туристичних садиб (Лумшори), бронювання, оплата; розвиток е-комерції.</w:t>
      </w:r>
    </w:p>
    <w:p w:rsidR="00227FEF" w:rsidRDefault="00494B9D">
      <w:pPr>
        <w:numPr>
          <w:ilvl w:val="0"/>
          <w:numId w:val="2"/>
        </w:numPr>
        <w:spacing w:before="60" w:after="60" w:line="276" w:lineRule="auto"/>
        <w:jc w:val="both"/>
        <w:rPr>
          <w:rFonts w:ascii="Times New Roman" w:eastAsia="Arial" w:hAnsi="Times New Roman"/>
          <w:sz w:val="28"/>
          <w:szCs w:val="28"/>
          <w:lang w:val="uk-UA" w:eastAsia="uk-UA"/>
        </w:rPr>
      </w:pPr>
      <w:r>
        <w:rPr>
          <w:rFonts w:ascii="Times New Roman" w:eastAsia="Arial" w:hAnsi="Times New Roman"/>
          <w:b/>
          <w:bCs/>
          <w:sz w:val="28"/>
          <w:szCs w:val="28"/>
          <w:lang w:val="uk-UA" w:eastAsia="uk-UA"/>
        </w:rPr>
        <w:t xml:space="preserve">Безпека та оповіщення: </w:t>
      </w:r>
      <w:r>
        <w:rPr>
          <w:rFonts w:ascii="Times New Roman" w:eastAsia="Arial" w:hAnsi="Times New Roman"/>
          <w:sz w:val="28"/>
          <w:szCs w:val="28"/>
          <w:lang w:val="uk-UA" w:eastAsia="uk-UA"/>
        </w:rPr>
        <w:t>системи раннього попередження про паводки; оповіщення населення; зв’язок із службами порятунку.</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lastRenderedPageBreak/>
        <w:t xml:space="preserve">Забезпечення якісним Інтернет-покриттям усіх 17 населених пунктів є стратегічним пріоритетом. Для цього необхідно: встановлення додаткових базових станцій мобільного зв’язку (особливо у Лумшорах, Турічках, Завбучі, Ракові); створення публічних точок </w:t>
      </w:r>
      <w:r>
        <w:rPr>
          <w:rFonts w:ascii="Times New Roman" w:eastAsia="Arial" w:hAnsi="Times New Roman"/>
          <w:sz w:val="28"/>
          <w:szCs w:val="28"/>
        </w:rPr>
        <w:t>Wi</w:t>
      </w:r>
      <w:r>
        <w:rPr>
          <w:rFonts w:ascii="Times New Roman" w:eastAsia="Arial" w:hAnsi="Times New Roman"/>
          <w:sz w:val="28"/>
          <w:szCs w:val="28"/>
          <w:lang w:val="ru-RU"/>
        </w:rPr>
        <w:t>-</w:t>
      </w:r>
      <w:r>
        <w:rPr>
          <w:rFonts w:ascii="Times New Roman" w:eastAsia="Arial" w:hAnsi="Times New Roman"/>
          <w:sz w:val="28"/>
          <w:szCs w:val="28"/>
        </w:rPr>
        <w:t>Fi</w:t>
      </w:r>
      <w:r>
        <w:rPr>
          <w:rFonts w:ascii="Times New Roman" w:eastAsia="Arial" w:hAnsi="Times New Roman"/>
          <w:sz w:val="28"/>
          <w:szCs w:val="28"/>
          <w:lang w:val="ru-RU"/>
        </w:rPr>
        <w:t>-доступу в соціальних об’єктах (школи, ФАПи, клуби); облаштування коворкінг-простору в Тур’ї Реметах.</w:t>
      </w:r>
    </w:p>
    <w:p w:rsidR="00227FEF" w:rsidRDefault="00494B9D">
      <w:pPr>
        <w:spacing w:before="120" w:after="120" w:line="276" w:lineRule="auto"/>
        <w:ind w:firstLine="708"/>
        <w:outlineLvl w:val="1"/>
        <w:rPr>
          <w:rFonts w:ascii="Times New Roman" w:eastAsia="Arial" w:hAnsi="Times New Roman"/>
          <w:b/>
          <w:bCs/>
          <w:sz w:val="28"/>
          <w:szCs w:val="28"/>
          <w:lang w:val="uk-UA" w:eastAsia="uk-UA"/>
        </w:rPr>
      </w:pPr>
      <w:r>
        <w:rPr>
          <w:rFonts w:ascii="Times New Roman" w:eastAsia="Arial" w:hAnsi="Times New Roman"/>
          <w:b/>
          <w:bCs/>
          <w:sz w:val="28"/>
          <w:szCs w:val="28"/>
          <w:lang w:val="uk-UA" w:eastAsia="uk-UA"/>
        </w:rPr>
        <w:t>5. Соціальна інфраструктура</w:t>
      </w:r>
    </w:p>
    <w:p w:rsidR="00227FEF" w:rsidRDefault="00494B9D">
      <w:pPr>
        <w:spacing w:before="120" w:after="120" w:line="276" w:lineRule="auto"/>
        <w:ind w:firstLine="708"/>
        <w:outlineLvl w:val="2"/>
        <w:rPr>
          <w:rFonts w:ascii="Times New Roman" w:eastAsia="Arial" w:hAnsi="Times New Roman"/>
          <w:b/>
          <w:bCs/>
          <w:sz w:val="28"/>
          <w:szCs w:val="28"/>
          <w:lang w:val="uk-UA" w:eastAsia="uk-UA"/>
        </w:rPr>
      </w:pPr>
      <w:r>
        <w:rPr>
          <w:rFonts w:ascii="Times New Roman" w:eastAsia="Arial" w:hAnsi="Times New Roman"/>
          <w:b/>
          <w:bCs/>
          <w:sz w:val="28"/>
          <w:szCs w:val="28"/>
          <w:lang w:val="uk-UA" w:eastAsia="uk-UA"/>
        </w:rPr>
        <w:t>5.1. Освітня інфраструктура</w:t>
      </w:r>
    </w:p>
    <w:p w:rsidR="00227FEF" w:rsidRDefault="00494B9D">
      <w:pPr>
        <w:spacing w:before="120" w:after="120" w:line="276" w:lineRule="auto"/>
        <w:ind w:firstLine="708"/>
        <w:jc w:val="both"/>
        <w:rPr>
          <w:rFonts w:ascii="Times New Roman" w:eastAsia="Arial" w:hAnsi="Times New Roman"/>
          <w:sz w:val="28"/>
          <w:szCs w:val="28"/>
          <w:lang w:val="ru-RU"/>
        </w:rPr>
      </w:pPr>
      <w:r>
        <w:rPr>
          <w:rFonts w:ascii="Times New Roman" w:eastAsia="Arial" w:hAnsi="Times New Roman"/>
          <w:sz w:val="28"/>
          <w:szCs w:val="28"/>
          <w:lang w:val="uk-UA"/>
        </w:rPr>
        <w:t xml:space="preserve">На території громади функціонує мережа з 11 закладів загальної середньої освіти (ЗЗСО), 6 закладів дошкільної освіти, комунальний заклад «Тур’є-Реметівська школа мистецтв», </w:t>
      </w:r>
      <w:r>
        <w:rPr>
          <w:rFonts w:ascii="Times New Roman" w:eastAsia="Arial" w:hAnsi="Times New Roman"/>
          <w:color w:val="000000"/>
          <w:sz w:val="28"/>
          <w:szCs w:val="28"/>
          <w:lang w:val="uk-UA"/>
        </w:rPr>
        <w:t>комунальна установа «Інклюзивно-Ресурсний центр»</w:t>
      </w:r>
      <w:r>
        <w:rPr>
          <w:rFonts w:ascii="Times New Roman" w:eastAsia="Arial" w:hAnsi="Times New Roman"/>
          <w:b/>
          <w:bCs/>
          <w:color w:val="000000"/>
          <w:sz w:val="28"/>
          <w:szCs w:val="28"/>
          <w:lang w:val="uk-UA"/>
        </w:rPr>
        <w:t xml:space="preserve">. </w:t>
      </w:r>
      <w:r>
        <w:rPr>
          <w:rFonts w:ascii="Times New Roman" w:eastAsia="Arial" w:hAnsi="Times New Roman"/>
          <w:sz w:val="28"/>
          <w:szCs w:val="28"/>
          <w:lang w:val="uk-UA"/>
        </w:rPr>
        <w:t xml:space="preserve"> Координацію здійснює відділ освіти, культури, молоді та спорту сільської ради.</w:t>
      </w:r>
    </w:p>
    <w:p w:rsidR="00227FEF" w:rsidRDefault="00494B9D">
      <w:pPr>
        <w:spacing w:before="120" w:after="120" w:line="276" w:lineRule="auto"/>
        <w:ind w:firstLine="708"/>
        <w:jc w:val="both"/>
        <w:rPr>
          <w:rFonts w:ascii="Times New Roman" w:eastAsia="Arial" w:hAnsi="Times New Roman"/>
          <w:sz w:val="28"/>
          <w:szCs w:val="28"/>
          <w:lang w:val="uk-UA"/>
        </w:rPr>
      </w:pPr>
      <w:r>
        <w:rPr>
          <w:rFonts w:ascii="Times New Roman" w:eastAsia="Arial" w:hAnsi="Times New Roman"/>
          <w:sz w:val="28"/>
          <w:szCs w:val="28"/>
          <w:lang w:val="uk-UA"/>
        </w:rPr>
        <w:t xml:space="preserve">Координацію здійснює Відділ освіти, </w:t>
      </w:r>
      <w:r w:rsidR="0093226E">
        <w:rPr>
          <w:rFonts w:ascii="Times New Roman" w:eastAsia="Arial" w:hAnsi="Times New Roman"/>
          <w:sz w:val="28"/>
          <w:szCs w:val="28"/>
          <w:lang w:val="uk-UA"/>
        </w:rPr>
        <w:t>культури, молоді</w:t>
      </w:r>
      <w:r>
        <w:rPr>
          <w:rFonts w:ascii="Times New Roman" w:eastAsia="Arial" w:hAnsi="Times New Roman"/>
          <w:sz w:val="28"/>
          <w:szCs w:val="28"/>
          <w:lang w:val="uk-UA"/>
        </w:rPr>
        <w:t xml:space="preserve">  та спорту сільської ради. </w:t>
      </w:r>
    </w:p>
    <w:p w:rsidR="00227FEF" w:rsidRDefault="00494B9D">
      <w:pPr>
        <w:spacing w:before="120" w:after="120" w:line="276" w:lineRule="auto"/>
        <w:ind w:firstLine="708"/>
        <w:jc w:val="both"/>
        <w:rPr>
          <w:rFonts w:ascii="Times New Roman" w:hAnsi="Times New Roman"/>
          <w:sz w:val="28"/>
          <w:szCs w:val="28"/>
          <w:lang w:val="uk-UA"/>
        </w:rPr>
      </w:pPr>
      <w:r>
        <w:rPr>
          <w:rFonts w:ascii="Times New Roman" w:eastAsia="Arial" w:hAnsi="Times New Roman"/>
          <w:sz w:val="28"/>
          <w:szCs w:val="28"/>
          <w:lang w:val="uk-UA"/>
        </w:rPr>
        <w:t>Одним із пріоритетних інфраструктурних проєктів є реконструкція частини адмінбудівлі під Тур’я Пасіцький ЗДО Тур’є-Реметівської сільської ради для введення в експлуатацію закладу дошкільної освіти  - голова громади визначила цей проєкт як один з безумовних пріоритетів на поточний рік.</w:t>
      </w:r>
    </w:p>
    <w:p w:rsidR="00227FEF" w:rsidRDefault="00494B9D">
      <w:pPr>
        <w:spacing w:before="120" w:after="120" w:line="276" w:lineRule="auto"/>
        <w:ind w:firstLine="708"/>
        <w:jc w:val="both"/>
        <w:rPr>
          <w:rFonts w:ascii="Times New Roman" w:hAnsi="Times New Roman"/>
          <w:sz w:val="28"/>
          <w:szCs w:val="28"/>
        </w:rPr>
      </w:pPr>
      <w:r>
        <w:rPr>
          <w:rFonts w:ascii="Times New Roman" w:eastAsia="Arial" w:hAnsi="Times New Roman"/>
          <w:sz w:val="28"/>
          <w:szCs w:val="28"/>
        </w:rPr>
        <w:t>Ключові проблеми освітньої інфраструктури:</w:t>
      </w:r>
    </w:p>
    <w:p w:rsidR="00227FEF" w:rsidRDefault="00494B9D">
      <w:pPr>
        <w:numPr>
          <w:ilvl w:val="0"/>
          <w:numId w:val="2"/>
        </w:numPr>
        <w:spacing w:before="60" w:after="60" w:line="276" w:lineRule="auto"/>
        <w:jc w:val="both"/>
        <w:rPr>
          <w:rFonts w:ascii="Times New Roman" w:eastAsia="Arial" w:hAnsi="Times New Roman"/>
          <w:sz w:val="28"/>
          <w:szCs w:val="28"/>
          <w:lang w:val="uk-UA" w:eastAsia="uk-UA"/>
        </w:rPr>
      </w:pPr>
      <w:r>
        <w:rPr>
          <w:rFonts w:ascii="Times New Roman" w:eastAsia="Arial" w:hAnsi="Times New Roman"/>
          <w:sz w:val="28"/>
          <w:szCs w:val="28"/>
          <w:lang w:val="uk-UA" w:eastAsia="uk-UA"/>
        </w:rPr>
        <w:t>Фізичний знос будівель, закладів дошкільної та загальної середньої освіти побудованих переважно у радянський період (1960–1980-ті роки); потреба у капітальному ремонті.</w:t>
      </w:r>
    </w:p>
    <w:p w:rsidR="00227FEF" w:rsidRDefault="00494B9D">
      <w:pPr>
        <w:numPr>
          <w:ilvl w:val="0"/>
          <w:numId w:val="2"/>
        </w:numPr>
        <w:spacing w:before="60" w:after="60" w:line="276" w:lineRule="auto"/>
        <w:jc w:val="both"/>
        <w:rPr>
          <w:rFonts w:ascii="Times New Roman" w:eastAsia="Arial" w:hAnsi="Times New Roman"/>
          <w:sz w:val="28"/>
          <w:szCs w:val="28"/>
          <w:lang w:val="uk-UA" w:eastAsia="uk-UA"/>
        </w:rPr>
      </w:pPr>
      <w:r>
        <w:rPr>
          <w:rFonts w:ascii="Times New Roman" w:eastAsia="Arial" w:hAnsi="Times New Roman"/>
          <w:sz w:val="28"/>
          <w:szCs w:val="28"/>
          <w:lang w:val="uk-UA" w:eastAsia="uk-UA"/>
        </w:rPr>
        <w:t>Недостатнє опалення та низька енергоефективність приміщень; високі витрати на комунальні послуги.</w:t>
      </w:r>
    </w:p>
    <w:p w:rsidR="00227FEF" w:rsidRDefault="00494B9D">
      <w:pPr>
        <w:numPr>
          <w:ilvl w:val="0"/>
          <w:numId w:val="2"/>
        </w:numPr>
        <w:spacing w:before="60" w:after="60" w:line="276" w:lineRule="auto"/>
        <w:jc w:val="both"/>
        <w:rPr>
          <w:rFonts w:ascii="Times New Roman" w:eastAsia="Arial" w:hAnsi="Times New Roman"/>
          <w:sz w:val="28"/>
          <w:szCs w:val="28"/>
          <w:lang w:val="uk-UA" w:eastAsia="uk-UA"/>
        </w:rPr>
      </w:pPr>
      <w:r>
        <w:rPr>
          <w:rFonts w:ascii="Times New Roman" w:eastAsia="Arial" w:hAnsi="Times New Roman"/>
          <w:sz w:val="28"/>
          <w:szCs w:val="28"/>
          <w:lang w:val="uk-UA" w:eastAsia="uk-UA"/>
        </w:rPr>
        <w:t>Нестача сучасного навчального обладнання, комп’ютерної техніки та доступу до Інтернету (критично для впровадження НУШ).</w:t>
      </w:r>
    </w:p>
    <w:p w:rsidR="00227FEF" w:rsidRDefault="00494B9D">
      <w:pPr>
        <w:numPr>
          <w:ilvl w:val="0"/>
          <w:numId w:val="2"/>
        </w:numPr>
        <w:spacing w:before="60" w:after="60" w:line="276" w:lineRule="auto"/>
        <w:jc w:val="both"/>
        <w:rPr>
          <w:rFonts w:ascii="Times New Roman" w:eastAsia="Arial" w:hAnsi="Times New Roman"/>
          <w:sz w:val="28"/>
          <w:szCs w:val="28"/>
          <w:lang w:val="uk-UA" w:eastAsia="uk-UA"/>
        </w:rPr>
      </w:pPr>
      <w:r>
        <w:rPr>
          <w:rFonts w:ascii="Times New Roman" w:eastAsia="Arial" w:hAnsi="Times New Roman"/>
          <w:sz w:val="28"/>
          <w:szCs w:val="28"/>
          <w:lang w:val="uk-UA" w:eastAsia="uk-UA"/>
        </w:rPr>
        <w:t>Малокомплектність шкіл у малих селах — дефіцит вчителів, особливо з STEM-предметів та іноземних мов.</w:t>
      </w:r>
    </w:p>
    <w:p w:rsidR="00227FEF" w:rsidRDefault="00494B9D">
      <w:pPr>
        <w:numPr>
          <w:ilvl w:val="0"/>
          <w:numId w:val="2"/>
        </w:numPr>
        <w:spacing w:before="60" w:after="60" w:line="276" w:lineRule="auto"/>
        <w:jc w:val="both"/>
        <w:rPr>
          <w:rFonts w:ascii="Times New Roman" w:eastAsia="Arial" w:hAnsi="Times New Roman"/>
          <w:sz w:val="28"/>
          <w:szCs w:val="28"/>
          <w:lang w:val="uk-UA" w:eastAsia="uk-UA"/>
        </w:rPr>
      </w:pPr>
      <w:r>
        <w:rPr>
          <w:rFonts w:ascii="Times New Roman" w:eastAsia="Arial" w:hAnsi="Times New Roman"/>
          <w:sz w:val="28"/>
          <w:szCs w:val="28"/>
          <w:lang w:val="uk-UA" w:eastAsia="uk-UA"/>
        </w:rPr>
        <w:t>Логістичні складнощі з підвезенням учнів з віддалених сіл (довгі маршрути, незадовільні дороги).</w:t>
      </w:r>
    </w:p>
    <w:p w:rsidR="00227FEF" w:rsidRDefault="00494B9D">
      <w:pPr>
        <w:numPr>
          <w:ilvl w:val="0"/>
          <w:numId w:val="2"/>
        </w:numPr>
        <w:spacing w:before="60" w:after="60" w:line="276" w:lineRule="auto"/>
        <w:jc w:val="both"/>
        <w:rPr>
          <w:rFonts w:ascii="Times New Roman" w:eastAsia="Arial" w:hAnsi="Times New Roman"/>
          <w:sz w:val="28"/>
          <w:szCs w:val="28"/>
          <w:lang w:val="uk-UA" w:eastAsia="uk-UA"/>
        </w:rPr>
      </w:pPr>
      <w:r>
        <w:rPr>
          <w:rFonts w:ascii="Times New Roman" w:eastAsia="Arial" w:hAnsi="Times New Roman"/>
          <w:sz w:val="28"/>
          <w:szCs w:val="28"/>
          <w:lang w:val="uk-UA" w:eastAsia="uk-UA"/>
        </w:rPr>
        <w:t>Відтік молодих педагогів через відсутність житла та низьку оплату праці.</w:t>
      </w:r>
    </w:p>
    <w:p w:rsidR="00227FEF" w:rsidRDefault="00494B9D">
      <w:pPr>
        <w:numPr>
          <w:ilvl w:val="0"/>
          <w:numId w:val="2"/>
        </w:numPr>
        <w:spacing w:before="120" w:after="120" w:line="276" w:lineRule="auto"/>
        <w:outlineLvl w:val="2"/>
        <w:rPr>
          <w:rFonts w:ascii="Times New Roman" w:eastAsia="Arial" w:hAnsi="Times New Roman"/>
          <w:b/>
          <w:bCs/>
          <w:sz w:val="28"/>
          <w:szCs w:val="28"/>
          <w:lang w:val="uk-UA" w:eastAsia="uk-UA"/>
        </w:rPr>
      </w:pPr>
      <w:r>
        <w:rPr>
          <w:rFonts w:ascii="Times New Roman" w:eastAsia="Arial" w:hAnsi="Times New Roman"/>
          <w:b/>
          <w:bCs/>
          <w:sz w:val="28"/>
          <w:szCs w:val="28"/>
          <w:lang w:val="uk-UA" w:eastAsia="uk-UA"/>
        </w:rPr>
        <w:t>5.2. Медична інфраструктура</w:t>
      </w:r>
    </w:p>
    <w:p w:rsidR="00227FEF" w:rsidRDefault="00494B9D">
      <w:pPr>
        <w:numPr>
          <w:ilvl w:val="0"/>
          <w:numId w:val="2"/>
        </w:numPr>
        <w:spacing w:before="120" w:after="120" w:line="276" w:lineRule="auto"/>
        <w:jc w:val="both"/>
        <w:rPr>
          <w:rFonts w:ascii="Times New Roman" w:hAnsi="Times New Roman"/>
          <w:sz w:val="28"/>
          <w:szCs w:val="28"/>
          <w:lang w:val="uk-UA"/>
        </w:rPr>
      </w:pPr>
      <w:r>
        <w:rPr>
          <w:rFonts w:ascii="Times New Roman" w:eastAsia="Arial" w:hAnsi="Times New Roman"/>
          <w:sz w:val="28"/>
          <w:szCs w:val="28"/>
          <w:lang w:val="uk-UA"/>
        </w:rPr>
        <w:t>Мережа первинної медичної допомоги складається з 8 закладів (фельдшерсько-акушерські пункти та амбулаторії загальної практики—</w:t>
      </w:r>
      <w:r>
        <w:rPr>
          <w:rFonts w:ascii="Times New Roman" w:eastAsia="Arial" w:hAnsi="Times New Roman"/>
          <w:sz w:val="28"/>
          <w:szCs w:val="28"/>
          <w:lang w:val="uk-UA"/>
        </w:rPr>
        <w:lastRenderedPageBreak/>
        <w:t>сімейної медицини), що в цілому забезпечує територіальну доступність первинної допомоги. Матеріально-технічна база більшості медичних закладів в задовільному стані. Всі амбулаторії оснащені сучасним обладнанням та санітарним автотранспортом. Укомплектованість медичним персоналом є неповною. Значна частка амбулаторій обслуговується лікарями пенсійного або передпенсійного віку.</w:t>
      </w:r>
    </w:p>
    <w:p w:rsidR="00227FEF" w:rsidRDefault="00494B9D">
      <w:pPr>
        <w:numPr>
          <w:ilvl w:val="0"/>
          <w:numId w:val="2"/>
        </w:numPr>
        <w:spacing w:before="120" w:after="120" w:line="276" w:lineRule="auto"/>
        <w:jc w:val="both"/>
        <w:rPr>
          <w:rFonts w:ascii="Times New Roman" w:hAnsi="Times New Roman"/>
          <w:sz w:val="28"/>
          <w:szCs w:val="28"/>
          <w:lang w:val="ru-RU"/>
        </w:rPr>
      </w:pPr>
      <w:r>
        <w:rPr>
          <w:rFonts w:ascii="Times New Roman" w:eastAsia="Arial" w:hAnsi="Times New Roman"/>
          <w:sz w:val="28"/>
          <w:szCs w:val="28"/>
          <w:lang w:val="uk-UA"/>
        </w:rPr>
        <w:t xml:space="preserve">Для отримання спеціалізованої та стаціонарної допомоги мешканці  звертаються до закладів у Перечині (20–30 км) та Ужгороді (50–70 км). </w:t>
      </w:r>
      <w:r>
        <w:rPr>
          <w:rFonts w:ascii="Times New Roman" w:eastAsia="Arial" w:hAnsi="Times New Roman"/>
          <w:sz w:val="28"/>
          <w:szCs w:val="28"/>
          <w:lang w:val="ru-RU"/>
        </w:rPr>
        <w:t>При незадовільному стані доріг та відсутності транспорту це є суттєвою перешкодою, особливо для людей похилого віку та мешканців віддалених сіл. Середній час доїзду від найвіддаленіших сіл до лікарні Перечина становить 40–60 хвилин, а до Ужгорода — 1,5–2 години. Висока поширеність захворювань опорно-рухового апарату (серед працівників лісового господарства та сільського господарства), серцево-судинних захворювань та хронічних хвороб підвищує навантаження на медичну систему.</w:t>
      </w:r>
    </w:p>
    <w:p w:rsidR="00227FEF" w:rsidRDefault="00494B9D">
      <w:pPr>
        <w:numPr>
          <w:ilvl w:val="0"/>
          <w:numId w:val="2"/>
        </w:numPr>
        <w:spacing w:before="120" w:after="120" w:line="276" w:lineRule="auto"/>
        <w:jc w:val="both"/>
        <w:rPr>
          <w:rFonts w:ascii="Times New Roman" w:hAnsi="Times New Roman"/>
          <w:sz w:val="28"/>
          <w:szCs w:val="28"/>
          <w:lang w:val="ru-RU"/>
        </w:rPr>
      </w:pPr>
      <w:r>
        <w:rPr>
          <w:rFonts w:ascii="Times New Roman" w:eastAsia="Arial" w:hAnsi="Times New Roman"/>
          <w:sz w:val="28"/>
          <w:szCs w:val="28"/>
          <w:lang w:val="ru-RU"/>
        </w:rPr>
        <w:t>Розвиток телемедицини, формування мобільних медичних бригад та залучення молодих лікарів через програми службового житла є пріоритетними напрямами.</w:t>
      </w:r>
    </w:p>
    <w:p w:rsidR="00227FEF" w:rsidRDefault="00494B9D">
      <w:pPr>
        <w:spacing w:before="120" w:after="120" w:line="276" w:lineRule="auto"/>
        <w:ind w:firstLine="708"/>
        <w:outlineLvl w:val="2"/>
        <w:rPr>
          <w:rFonts w:ascii="Times New Roman" w:eastAsia="Arial" w:hAnsi="Times New Roman"/>
          <w:b/>
          <w:bCs/>
          <w:sz w:val="28"/>
          <w:szCs w:val="28"/>
          <w:lang w:val="uk-UA" w:eastAsia="uk-UA"/>
        </w:rPr>
      </w:pPr>
      <w:r>
        <w:rPr>
          <w:rFonts w:ascii="Times New Roman" w:eastAsia="Arial" w:hAnsi="Times New Roman"/>
          <w:b/>
          <w:bCs/>
          <w:sz w:val="28"/>
          <w:szCs w:val="28"/>
          <w:lang w:val="uk-UA" w:eastAsia="uk-UA"/>
        </w:rPr>
        <w:t>5.3. Об’єкти культури та спорту</w:t>
      </w:r>
    </w:p>
    <w:p w:rsidR="00227FEF" w:rsidRDefault="00494B9D">
      <w:pPr>
        <w:ind w:firstLine="567"/>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Мережа закладів культури та спорту громади є важливою складовою соціальної інфраструктури та сприяє збереженню культурної спадщини, розвитку творчих здібностей мешканців, популяризації здорового способу життя та організації змістовного дозвілля населення.</w:t>
      </w:r>
    </w:p>
    <w:p w:rsidR="00227FEF" w:rsidRDefault="00494B9D">
      <w:pPr>
        <w:ind w:firstLine="567"/>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На території громади функціонують заклади культури, до яких належать будинок культури, сільські клуби та бібліотеки. Їх діяльність спрямована на забезпечення культурних потреб населення, проведення мистецьких, просвітницьких та патріотично-виховних заходів, збереження та популяризацію народних традицій, звичаїв і ремесел.</w:t>
      </w:r>
    </w:p>
    <w:p w:rsidR="00227FEF" w:rsidRDefault="00494B9D">
      <w:pPr>
        <w:ind w:firstLine="567"/>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Разом з тим, майже всі  об’єкти культури потребують проведення капітальних та поточних ремонтів, модернізації матеріально-технічної бази, покращення енергоефективності будівель, оновлення обладнання та благоустрою прилеглих територій.</w:t>
      </w:r>
    </w:p>
    <w:p w:rsidR="00227FEF" w:rsidRDefault="00494B9D">
      <w:pPr>
        <w:ind w:firstLine="567"/>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Основними завданнями розвитку сфери культури в громаді є:</w:t>
      </w:r>
    </w:p>
    <w:p w:rsidR="00227FEF" w:rsidRDefault="00494B9D">
      <w:pPr>
        <w:numPr>
          <w:ilvl w:val="0"/>
          <w:numId w:val="19"/>
        </w:numPr>
        <w:ind w:left="426" w:hanging="11"/>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покращення матеріально-технічного забезпечення закладів;</w:t>
      </w:r>
    </w:p>
    <w:p w:rsidR="00227FEF" w:rsidRDefault="00494B9D">
      <w:pPr>
        <w:numPr>
          <w:ilvl w:val="0"/>
          <w:numId w:val="19"/>
        </w:numPr>
        <w:ind w:left="426" w:hanging="11"/>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проведення ремонтних робіт та модернізація існуючих об’єктів;</w:t>
      </w:r>
    </w:p>
    <w:p w:rsidR="00227FEF" w:rsidRDefault="00494B9D">
      <w:pPr>
        <w:numPr>
          <w:ilvl w:val="0"/>
          <w:numId w:val="19"/>
        </w:numPr>
        <w:ind w:left="426" w:hanging="11"/>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створення безбар’єрного доступу для маломобільних груп населення;</w:t>
      </w:r>
    </w:p>
    <w:p w:rsidR="00227FEF" w:rsidRDefault="00494B9D">
      <w:pPr>
        <w:numPr>
          <w:ilvl w:val="0"/>
          <w:numId w:val="19"/>
        </w:numPr>
        <w:ind w:left="426" w:hanging="11"/>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підтримка діяльності творчих колективів;</w:t>
      </w:r>
    </w:p>
    <w:p w:rsidR="00227FEF" w:rsidRDefault="00494B9D">
      <w:pPr>
        <w:numPr>
          <w:ilvl w:val="0"/>
          <w:numId w:val="19"/>
        </w:numPr>
        <w:ind w:left="426" w:hanging="11"/>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розвиток молодіжних ініціатив у сфері культури;</w:t>
      </w:r>
    </w:p>
    <w:p w:rsidR="00227FEF" w:rsidRDefault="00494B9D">
      <w:pPr>
        <w:numPr>
          <w:ilvl w:val="0"/>
          <w:numId w:val="19"/>
        </w:numPr>
        <w:ind w:left="426" w:hanging="11"/>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lastRenderedPageBreak/>
        <w:t>залучення інвестицій, грантових коштів та інших позабюджетних ресурсів для розвитку галузі;</w:t>
      </w:r>
    </w:p>
    <w:p w:rsidR="00227FEF" w:rsidRDefault="00494B9D">
      <w:pPr>
        <w:numPr>
          <w:ilvl w:val="0"/>
          <w:numId w:val="19"/>
        </w:numPr>
        <w:spacing w:before="120" w:after="120" w:line="276" w:lineRule="auto"/>
        <w:ind w:left="0" w:firstLine="426"/>
        <w:jc w:val="both"/>
        <w:rPr>
          <w:rFonts w:ascii="Times New Roman" w:eastAsia="Arial" w:hAnsi="Times New Roman"/>
          <w:sz w:val="28"/>
          <w:szCs w:val="28"/>
          <w:lang w:val="uk-UA"/>
        </w:rPr>
      </w:pPr>
      <w:r>
        <w:rPr>
          <w:rFonts w:ascii="Times New Roman" w:eastAsia="Times New Roman" w:hAnsi="Times New Roman"/>
          <w:sz w:val="28"/>
          <w:szCs w:val="28"/>
          <w:lang w:val="uk-UA" w:eastAsia="uk-UA"/>
        </w:rPr>
        <w:t xml:space="preserve">створення сучасних та комфортних умов для культурного дозвілля. </w:t>
      </w:r>
    </w:p>
    <w:p w:rsidR="00227FEF" w:rsidRDefault="00494B9D">
      <w:pPr>
        <w:spacing w:before="120" w:after="120" w:line="276" w:lineRule="auto"/>
        <w:ind w:firstLine="709"/>
        <w:jc w:val="both"/>
        <w:rPr>
          <w:rFonts w:ascii="Times New Roman" w:eastAsia="Arial" w:hAnsi="Times New Roman"/>
          <w:sz w:val="28"/>
          <w:szCs w:val="28"/>
          <w:lang w:val="uk-UA"/>
        </w:rPr>
      </w:pPr>
      <w:r>
        <w:rPr>
          <w:rFonts w:ascii="Times New Roman" w:eastAsia="Times New Roman" w:hAnsi="Times New Roman"/>
          <w:sz w:val="28"/>
          <w:szCs w:val="28"/>
          <w:lang w:val="uk-UA" w:eastAsia="uk-UA"/>
        </w:rPr>
        <w:t>Реалізація заходів у сфері культури сприятиме підвищенню якості життя населення, зміцненню громадської активності, збереженню культурної самобутності громади.</w:t>
      </w:r>
    </w:p>
    <w:p w:rsidR="00227FEF" w:rsidRPr="00F155F9" w:rsidRDefault="00494B9D" w:rsidP="00F155F9">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 xml:space="preserve">Спортивна інфраструктура- </w:t>
      </w:r>
      <w:r>
        <w:rPr>
          <w:rFonts w:ascii="Times New Roman" w:hAnsi="Times New Roman"/>
          <w:sz w:val="28"/>
          <w:szCs w:val="28"/>
          <w:lang w:val="uk-UA"/>
        </w:rPr>
        <w:t xml:space="preserve">6 спортивних залів, </w:t>
      </w:r>
      <w:proofErr w:type="gramStart"/>
      <w:r>
        <w:rPr>
          <w:rFonts w:ascii="Times New Roman" w:hAnsi="Times New Roman"/>
          <w:sz w:val="28"/>
          <w:szCs w:val="28"/>
          <w:lang w:val="uk-UA"/>
        </w:rPr>
        <w:t>4  пристосованих</w:t>
      </w:r>
      <w:proofErr w:type="gramEnd"/>
      <w:r>
        <w:rPr>
          <w:rFonts w:ascii="Times New Roman" w:hAnsi="Times New Roman"/>
          <w:sz w:val="28"/>
          <w:szCs w:val="28"/>
          <w:lang w:val="uk-UA"/>
        </w:rPr>
        <w:t xml:space="preserve"> приміщеннях для фізкультурно-оздоровчих занять,  12 спортивних майданчиків,  6  із яких із синтетичним покриттям</w:t>
      </w:r>
      <w:r>
        <w:rPr>
          <w:rFonts w:ascii="Times New Roman" w:eastAsia="Arial" w:hAnsi="Times New Roman"/>
          <w:sz w:val="28"/>
          <w:szCs w:val="28"/>
          <w:lang w:val="ru-RU"/>
        </w:rPr>
        <w:t xml:space="preserve"> Будівництво хоча б одного сучасного мультифункціонального спортивного комплексу в адміністративному центрі значно підвищить якість життя та привабливість громади для молоді.</w:t>
      </w:r>
    </w:p>
    <w:p w:rsidR="00227FEF" w:rsidRDefault="00494B9D" w:rsidP="00F155F9">
      <w:pPr>
        <w:spacing w:before="120" w:after="120" w:line="276" w:lineRule="auto"/>
        <w:ind w:firstLine="708"/>
        <w:outlineLvl w:val="2"/>
        <w:rPr>
          <w:rFonts w:ascii="Times New Roman" w:eastAsia="Arial" w:hAnsi="Times New Roman"/>
          <w:b/>
          <w:bCs/>
          <w:sz w:val="28"/>
          <w:szCs w:val="28"/>
          <w:lang w:val="uk-UA" w:eastAsia="uk-UA"/>
        </w:rPr>
      </w:pPr>
      <w:r>
        <w:rPr>
          <w:rFonts w:ascii="Times New Roman" w:eastAsia="Arial" w:hAnsi="Times New Roman"/>
          <w:b/>
          <w:bCs/>
          <w:sz w:val="28"/>
          <w:szCs w:val="28"/>
          <w:lang w:val="uk-UA" w:eastAsia="uk-UA"/>
        </w:rPr>
        <w:t>5.4. Адміністративна інфраструктура та публічні послуги</w:t>
      </w:r>
    </w:p>
    <w:p w:rsidR="00227FEF" w:rsidRPr="00F155F9" w:rsidRDefault="00F155F9" w:rsidP="00F155F9">
      <w:pPr>
        <w:tabs>
          <w:tab w:val="left" w:pos="513"/>
        </w:tabs>
        <w:spacing w:line="276" w:lineRule="auto"/>
        <w:ind w:left="-57"/>
        <w:jc w:val="both"/>
        <w:rPr>
          <w:lang w:val="uk-UA"/>
        </w:rPr>
      </w:pPr>
      <w:r>
        <w:rPr>
          <w:rFonts w:ascii="Times New Roman CYR" w:hAnsi="Times New Roman CYR" w:cs="Times New Roman CYR"/>
          <w:sz w:val="28"/>
          <w:szCs w:val="28"/>
          <w:lang w:val="uk-UA"/>
        </w:rPr>
        <w:tab/>
      </w:r>
      <w:r w:rsidR="00494B9D">
        <w:rPr>
          <w:rFonts w:ascii="Times New Roman CYR" w:hAnsi="Times New Roman CYR" w:cs="Times New Roman CYR"/>
          <w:sz w:val="28"/>
          <w:szCs w:val="28"/>
          <w:lang w:val="uk-UA"/>
        </w:rPr>
        <w:t xml:space="preserve">Відділ «Центр надання адміністративних послуг» виконавчого комітету Тур’є- Реметівської сільської ради утворено з метою забезпечення надання адміністративних послуг та надання документів дозвільного характеру  </w:t>
      </w:r>
      <w:r w:rsidR="00494B9D">
        <w:rPr>
          <w:sz w:val="28"/>
          <w:szCs w:val="28"/>
          <w:lang w:val="uk-UA"/>
        </w:rPr>
        <w:t xml:space="preserve">  </w:t>
      </w:r>
      <w:r w:rsidR="00494B9D">
        <w:rPr>
          <w:rFonts w:ascii="Times New Roman" w:hAnsi="Times New Roman"/>
          <w:sz w:val="28"/>
          <w:szCs w:val="28"/>
          <w:lang w:val="uk-UA"/>
        </w:rPr>
        <w:t xml:space="preserve">суб’єктам звернення.  </w:t>
      </w:r>
    </w:p>
    <w:p w:rsidR="00227FEF" w:rsidRDefault="00494B9D" w:rsidP="00F155F9">
      <w:pPr>
        <w:tabs>
          <w:tab w:val="left" w:pos="513"/>
        </w:tabs>
        <w:spacing w:line="276" w:lineRule="auto"/>
        <w:ind w:left="-57"/>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ab/>
        <w:t>Основними завданнями центру є:</w:t>
      </w:r>
    </w:p>
    <w:p w:rsidR="00227FEF" w:rsidRDefault="00C13EAC" w:rsidP="00F155F9">
      <w:pPr>
        <w:tabs>
          <w:tab w:val="left" w:pos="513"/>
        </w:tabs>
        <w:spacing w:line="276" w:lineRule="auto"/>
        <w:ind w:left="-57"/>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ab/>
      </w:r>
      <w:r w:rsidR="00494B9D">
        <w:rPr>
          <w:rFonts w:ascii="Times New Roman CYR" w:hAnsi="Times New Roman CYR" w:cs="Times New Roman CYR"/>
          <w:sz w:val="28"/>
          <w:szCs w:val="28"/>
          <w:lang w:val="uk-UA"/>
        </w:rPr>
        <w:t>1) організація надання адміністративних послуг у найкоротший строк  та за мінімальної кількості відвідувань суб’єктів звернень;</w:t>
      </w:r>
    </w:p>
    <w:p w:rsidR="00227FEF" w:rsidRDefault="00C13EAC" w:rsidP="00F155F9">
      <w:pPr>
        <w:tabs>
          <w:tab w:val="left" w:pos="513"/>
        </w:tabs>
        <w:spacing w:line="276" w:lineRule="auto"/>
        <w:ind w:left="-57"/>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ab/>
      </w:r>
      <w:r w:rsidR="00494B9D">
        <w:rPr>
          <w:rFonts w:ascii="Times New Roman CYR" w:hAnsi="Times New Roman CYR" w:cs="Times New Roman CYR"/>
          <w:sz w:val="28"/>
          <w:szCs w:val="28"/>
          <w:lang w:val="uk-UA"/>
        </w:rPr>
        <w:t>2) спрощення процедури отримання адміністративних послуг та поліпшення якості їх надання;</w:t>
      </w:r>
    </w:p>
    <w:p w:rsidR="00227FEF" w:rsidRDefault="00C13EAC" w:rsidP="00F155F9">
      <w:pPr>
        <w:tabs>
          <w:tab w:val="left" w:pos="513"/>
        </w:tabs>
        <w:spacing w:line="276" w:lineRule="auto"/>
        <w:ind w:left="-57"/>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ab/>
      </w:r>
      <w:r w:rsidR="00494B9D">
        <w:rPr>
          <w:rFonts w:ascii="Times New Roman CYR" w:hAnsi="Times New Roman CYR" w:cs="Times New Roman CYR"/>
          <w:sz w:val="28"/>
          <w:szCs w:val="28"/>
          <w:lang w:val="uk-UA"/>
        </w:rPr>
        <w:t>3) забезпечення інформування суб’єктів звернень про вимоги та порядок надання адміністративних послуг, що надаються адміністраторами через центр.</w:t>
      </w:r>
    </w:p>
    <w:p w:rsidR="00227FEF" w:rsidRDefault="00494B9D" w:rsidP="00F155F9">
      <w:pPr>
        <w:tabs>
          <w:tab w:val="left" w:pos="513"/>
        </w:tabs>
        <w:spacing w:line="276" w:lineRule="auto"/>
        <w:ind w:left="-57"/>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ab/>
        <w:t>Штатна чисельність працівників ЦНАПу  11 чоловік, зокрема</w:t>
      </w:r>
      <w:r w:rsidR="00C13EAC">
        <w:rPr>
          <w:rFonts w:ascii="Times New Roman CYR" w:hAnsi="Times New Roman CYR" w:cs="Times New Roman CYR"/>
          <w:color w:val="000000"/>
          <w:sz w:val="28"/>
          <w:szCs w:val="28"/>
          <w:lang w:val="uk-UA"/>
        </w:rPr>
        <w:t>,</w:t>
      </w:r>
      <w:r>
        <w:rPr>
          <w:rFonts w:ascii="Times New Roman CYR" w:hAnsi="Times New Roman CYR" w:cs="Times New Roman CYR"/>
          <w:color w:val="000000"/>
          <w:sz w:val="28"/>
          <w:szCs w:val="28"/>
          <w:lang w:val="uk-UA"/>
        </w:rPr>
        <w:t xml:space="preserve"> 8 -</w:t>
      </w:r>
      <w:r w:rsidR="00F155F9">
        <w:rPr>
          <w:rFonts w:ascii="Times New Roman CYR" w:hAnsi="Times New Roman CYR" w:cs="Times New Roman CYR"/>
          <w:color w:val="000000"/>
          <w:sz w:val="28"/>
          <w:szCs w:val="28"/>
          <w:lang w:val="uk-UA"/>
        </w:rPr>
        <w:t xml:space="preserve"> </w:t>
      </w:r>
      <w:r>
        <w:rPr>
          <w:rFonts w:ascii="Times New Roman CYR" w:hAnsi="Times New Roman CYR" w:cs="Times New Roman CYR"/>
          <w:color w:val="000000"/>
          <w:sz w:val="28"/>
          <w:szCs w:val="28"/>
          <w:lang w:val="uk-UA"/>
        </w:rPr>
        <w:t>адміністраторів, 1 – державний реєстратор, 1 – спеціаліаст І категорії,  та</w:t>
      </w:r>
      <w:r w:rsidR="00F155F9">
        <w:rPr>
          <w:rFonts w:ascii="Times New Roman CYR" w:hAnsi="Times New Roman CYR" w:cs="Times New Roman CYR"/>
          <w:color w:val="000000"/>
          <w:sz w:val="28"/>
          <w:szCs w:val="28"/>
          <w:lang w:val="uk-UA"/>
        </w:rPr>
        <w:t xml:space="preserve"> керівник</w:t>
      </w:r>
      <w:r>
        <w:rPr>
          <w:rFonts w:ascii="Times New Roman CYR" w:hAnsi="Times New Roman CYR" w:cs="Times New Roman CYR"/>
          <w:color w:val="000000"/>
          <w:sz w:val="28"/>
          <w:szCs w:val="28"/>
          <w:lang w:val="uk-UA"/>
        </w:rPr>
        <w:t>.</w:t>
      </w:r>
    </w:p>
    <w:p w:rsidR="00227FEF" w:rsidRDefault="00494B9D" w:rsidP="00F155F9">
      <w:pPr>
        <w:tabs>
          <w:tab w:val="left" w:pos="513"/>
        </w:tabs>
        <w:spacing w:line="276" w:lineRule="auto"/>
        <w:ind w:left="-57"/>
        <w:jc w:val="both"/>
        <w:rPr>
          <w:rFonts w:ascii="Times New Roman" w:hAnsi="Times New Roman"/>
          <w:sz w:val="28"/>
          <w:szCs w:val="28"/>
          <w:lang w:val="uk-UA"/>
        </w:rPr>
      </w:pPr>
      <w:r>
        <w:rPr>
          <w:rFonts w:ascii="Times New Roman CYR" w:hAnsi="Times New Roman CYR" w:cs="Times New Roman CYR"/>
          <w:color w:val="000000"/>
          <w:sz w:val="28"/>
          <w:szCs w:val="28"/>
          <w:lang w:val="uk-UA"/>
        </w:rPr>
        <w:tab/>
      </w:r>
      <w:bookmarkStart w:id="0" w:name="_Hlk121486446"/>
      <w:r>
        <w:rPr>
          <w:rFonts w:ascii="Times New Roman CYR" w:hAnsi="Times New Roman CYR" w:cs="Times New Roman CYR"/>
          <w:color w:val="000000"/>
          <w:sz w:val="28"/>
          <w:szCs w:val="28"/>
          <w:lang w:val="uk-UA"/>
        </w:rPr>
        <w:t xml:space="preserve">Центр </w:t>
      </w:r>
      <w:bookmarkStart w:id="1" w:name="_Hlk229473645"/>
      <w:r>
        <w:rPr>
          <w:rFonts w:ascii="Times New Roman CYR" w:hAnsi="Times New Roman CYR" w:cs="Times New Roman CYR"/>
          <w:color w:val="000000"/>
          <w:sz w:val="28"/>
          <w:szCs w:val="28"/>
          <w:lang w:val="uk-UA"/>
        </w:rPr>
        <w:t xml:space="preserve">надання адміністративних послуг </w:t>
      </w:r>
      <w:bookmarkEnd w:id="1"/>
      <w:r>
        <w:rPr>
          <w:rFonts w:ascii="Times New Roman CYR" w:hAnsi="Times New Roman CYR" w:cs="Times New Roman CYR"/>
          <w:color w:val="000000"/>
          <w:sz w:val="28"/>
          <w:szCs w:val="28"/>
          <w:lang w:val="uk-UA"/>
        </w:rPr>
        <w:t>співпрацює з наступними суб’єктами надання  адміністративних послуг:</w:t>
      </w:r>
    </w:p>
    <w:p w:rsidR="00227FEF" w:rsidRDefault="00494B9D" w:rsidP="00C13EAC">
      <w:pPr>
        <w:spacing w:line="276" w:lineRule="auto"/>
        <w:ind w:firstLine="708"/>
        <w:jc w:val="both"/>
        <w:rPr>
          <w:rFonts w:ascii="Times New Roman" w:hAnsi="Times New Roman"/>
          <w:sz w:val="28"/>
          <w:szCs w:val="28"/>
          <w:lang w:val="uk-UA"/>
        </w:rPr>
      </w:pPr>
      <w:r>
        <w:rPr>
          <w:rFonts w:ascii="Times New Roman" w:hAnsi="Times New Roman"/>
          <w:bCs/>
          <w:sz w:val="28"/>
          <w:szCs w:val="28"/>
          <w:lang w:val="uk-UA"/>
        </w:rPr>
        <w:t xml:space="preserve">1. Перечинський відділ актів цивільного стану в Ужгородському районі Закарпатської області Івано-Франківського  </w:t>
      </w:r>
      <w:r>
        <w:rPr>
          <w:rFonts w:ascii="Times New Roman" w:hAnsi="Times New Roman"/>
          <w:bCs/>
          <w:color w:val="000000"/>
          <w:sz w:val="28"/>
          <w:szCs w:val="28"/>
          <w:lang w:val="uk-UA"/>
        </w:rPr>
        <w:t>міжрегіонального  управління Міністерства юстиції.</w:t>
      </w:r>
    </w:p>
    <w:p w:rsidR="00227FEF" w:rsidRDefault="00494B9D" w:rsidP="00C13EAC">
      <w:pPr>
        <w:spacing w:line="276" w:lineRule="auto"/>
        <w:ind w:firstLine="708"/>
        <w:jc w:val="both"/>
        <w:rPr>
          <w:rFonts w:ascii="Times New Roman" w:hAnsi="Times New Roman"/>
          <w:sz w:val="28"/>
          <w:szCs w:val="28"/>
          <w:lang w:val="uk-UA"/>
        </w:rPr>
      </w:pPr>
      <w:r>
        <w:rPr>
          <w:rFonts w:ascii="Times New Roman" w:hAnsi="Times New Roman"/>
          <w:sz w:val="28"/>
          <w:szCs w:val="28"/>
          <w:lang w:val="uk-UA"/>
        </w:rPr>
        <w:t>2.  Головне управління Держгеокадастру  у Закарпатській області.</w:t>
      </w:r>
    </w:p>
    <w:p w:rsidR="00227FEF" w:rsidRDefault="00494B9D" w:rsidP="00C13EAC">
      <w:pPr>
        <w:spacing w:line="276" w:lineRule="auto"/>
        <w:ind w:firstLine="708"/>
        <w:jc w:val="both"/>
        <w:rPr>
          <w:rFonts w:ascii="Times New Roman" w:hAnsi="Times New Roman"/>
          <w:sz w:val="28"/>
          <w:szCs w:val="28"/>
          <w:lang w:val="uk-UA"/>
        </w:rPr>
      </w:pPr>
      <w:r>
        <w:rPr>
          <w:rFonts w:ascii="Times New Roman" w:hAnsi="Times New Roman"/>
          <w:sz w:val="28"/>
          <w:szCs w:val="28"/>
          <w:lang w:val="uk-UA"/>
        </w:rPr>
        <w:t xml:space="preserve">3. Сектор у Закарпатській області Державного агенства водних ресурсів  </w:t>
      </w:r>
    </w:p>
    <w:p w:rsidR="00227FEF" w:rsidRDefault="00494B9D" w:rsidP="00F155F9">
      <w:pPr>
        <w:spacing w:line="276" w:lineRule="auto"/>
        <w:jc w:val="both"/>
        <w:rPr>
          <w:rFonts w:ascii="Times New Roman" w:hAnsi="Times New Roman"/>
          <w:sz w:val="28"/>
          <w:szCs w:val="28"/>
          <w:lang w:val="uk-UA"/>
        </w:rPr>
      </w:pPr>
      <w:r>
        <w:rPr>
          <w:rFonts w:ascii="Times New Roman" w:eastAsia="Times New Roman" w:hAnsi="Times New Roman"/>
          <w:sz w:val="28"/>
          <w:szCs w:val="28"/>
          <w:lang w:val="uk-UA"/>
        </w:rPr>
        <w:t xml:space="preserve">    </w:t>
      </w:r>
      <w:r>
        <w:rPr>
          <w:rFonts w:ascii="Times New Roman" w:hAnsi="Times New Roman"/>
          <w:sz w:val="28"/>
          <w:szCs w:val="28"/>
          <w:lang w:val="uk-UA"/>
        </w:rPr>
        <w:t>України.</w:t>
      </w:r>
    </w:p>
    <w:p w:rsidR="00227FEF" w:rsidRDefault="00494B9D" w:rsidP="00C13EAC">
      <w:pPr>
        <w:spacing w:line="276" w:lineRule="auto"/>
        <w:ind w:firstLine="708"/>
        <w:jc w:val="both"/>
        <w:rPr>
          <w:rFonts w:ascii="Times New Roman" w:hAnsi="Times New Roman"/>
          <w:sz w:val="28"/>
          <w:szCs w:val="28"/>
          <w:lang w:val="uk-UA"/>
        </w:rPr>
      </w:pPr>
      <w:r>
        <w:rPr>
          <w:rFonts w:ascii="Times New Roman" w:hAnsi="Times New Roman"/>
          <w:sz w:val="28"/>
          <w:szCs w:val="28"/>
          <w:lang w:val="uk-UA"/>
        </w:rPr>
        <w:t>4. Державна інспекція архітектури та містобудування України.</w:t>
      </w:r>
    </w:p>
    <w:p w:rsidR="00227FEF" w:rsidRDefault="00494B9D" w:rsidP="00C13EAC">
      <w:pPr>
        <w:spacing w:line="276" w:lineRule="auto"/>
        <w:ind w:firstLine="708"/>
        <w:jc w:val="both"/>
        <w:rPr>
          <w:rFonts w:ascii="Times New Roman" w:hAnsi="Times New Roman"/>
          <w:sz w:val="28"/>
          <w:szCs w:val="28"/>
          <w:lang w:val="uk-UA"/>
        </w:rPr>
      </w:pPr>
      <w:r>
        <w:rPr>
          <w:rFonts w:ascii="Times New Roman" w:hAnsi="Times New Roman"/>
          <w:sz w:val="28"/>
          <w:szCs w:val="28"/>
          <w:lang w:val="uk-UA"/>
        </w:rPr>
        <w:t>5. Головне управління ДСНС України у Закарпатській області.</w:t>
      </w:r>
    </w:p>
    <w:p w:rsidR="00227FEF" w:rsidRDefault="00494B9D" w:rsidP="00C13EAC">
      <w:pPr>
        <w:pStyle w:val="ae"/>
        <w:spacing w:before="0" w:after="0" w:line="276" w:lineRule="auto"/>
        <w:ind w:firstLine="708"/>
        <w:rPr>
          <w:sz w:val="28"/>
          <w:szCs w:val="28"/>
          <w:lang w:val="uk-UA"/>
        </w:rPr>
      </w:pPr>
      <w:r>
        <w:rPr>
          <w:sz w:val="28"/>
          <w:szCs w:val="28"/>
          <w:lang w:val="uk-UA"/>
        </w:rPr>
        <w:t>6. Головне управління  Держпродспоживслужби в Закарпатській області.</w:t>
      </w:r>
    </w:p>
    <w:p w:rsidR="00227FEF" w:rsidRDefault="00494B9D" w:rsidP="00C13EAC">
      <w:pPr>
        <w:spacing w:line="276" w:lineRule="auto"/>
        <w:ind w:firstLine="708"/>
        <w:jc w:val="both"/>
        <w:rPr>
          <w:rFonts w:ascii="Times New Roman" w:hAnsi="Times New Roman"/>
          <w:sz w:val="28"/>
          <w:szCs w:val="28"/>
          <w:lang w:val="uk-UA"/>
        </w:rPr>
      </w:pPr>
      <w:r>
        <w:rPr>
          <w:rFonts w:ascii="Times New Roman" w:hAnsi="Times New Roman"/>
          <w:sz w:val="28"/>
          <w:szCs w:val="28"/>
          <w:lang w:val="uk-UA"/>
        </w:rPr>
        <w:lastRenderedPageBreak/>
        <w:t>7. Департамент екології та природних ресурсів Закарпатської обласної державної адміністрації.</w:t>
      </w:r>
    </w:p>
    <w:p w:rsidR="00227FEF" w:rsidRPr="005E48D4" w:rsidRDefault="00494B9D" w:rsidP="00C13EAC">
      <w:pPr>
        <w:spacing w:line="276" w:lineRule="auto"/>
        <w:ind w:firstLine="708"/>
        <w:jc w:val="both"/>
        <w:rPr>
          <w:lang w:val="ru-RU"/>
        </w:rPr>
      </w:pPr>
      <w:r>
        <w:rPr>
          <w:rFonts w:ascii="Times New Roman" w:hAnsi="Times New Roman"/>
          <w:sz w:val="28"/>
          <w:szCs w:val="28"/>
          <w:lang w:val="uk-UA"/>
        </w:rPr>
        <w:t>8. Відділ соціального захисту населення та охорони здоров’я Тур’є- Реметівської сільської ради</w:t>
      </w:r>
      <w:r>
        <w:rPr>
          <w:rFonts w:ascii="Times New Roman" w:hAnsi="Times New Roman"/>
          <w:bCs/>
          <w:color w:val="000000"/>
          <w:sz w:val="28"/>
          <w:szCs w:val="28"/>
          <w:lang w:val="uk-UA"/>
        </w:rPr>
        <w:t>.</w:t>
      </w:r>
    </w:p>
    <w:p w:rsidR="00227FEF" w:rsidRPr="00C13EAC" w:rsidRDefault="00494B9D" w:rsidP="00C13EAC">
      <w:pPr>
        <w:spacing w:line="276" w:lineRule="auto"/>
        <w:ind w:firstLine="708"/>
        <w:jc w:val="both"/>
        <w:rPr>
          <w:lang w:val="uk-UA"/>
        </w:rPr>
      </w:pPr>
      <w:r>
        <w:rPr>
          <w:rFonts w:ascii="Times New Roman" w:hAnsi="Times New Roman"/>
          <w:bCs/>
          <w:color w:val="000000"/>
          <w:sz w:val="28"/>
          <w:szCs w:val="28"/>
          <w:lang w:val="uk-UA"/>
        </w:rPr>
        <w:t>9.</w:t>
      </w:r>
      <w:r>
        <w:rPr>
          <w:rFonts w:ascii="Times New Roman" w:hAnsi="Times New Roman"/>
          <w:sz w:val="28"/>
          <w:szCs w:val="28"/>
          <w:lang w:val="uk-UA"/>
        </w:rPr>
        <w:t xml:space="preserve"> Відділ містобудування, архітектури, військового обліку та цивільного захисту </w:t>
      </w:r>
      <w:bookmarkStart w:id="2" w:name="_Hlk220577918"/>
      <w:r>
        <w:rPr>
          <w:rFonts w:ascii="Times New Roman" w:hAnsi="Times New Roman"/>
          <w:sz w:val="28"/>
          <w:szCs w:val="28"/>
          <w:lang w:val="uk-UA"/>
        </w:rPr>
        <w:t>Тур’є- реметівської сільської ради</w:t>
      </w:r>
      <w:bookmarkEnd w:id="2"/>
      <w:r>
        <w:rPr>
          <w:rFonts w:ascii="Times New Roman" w:hAnsi="Times New Roman"/>
          <w:sz w:val="28"/>
          <w:szCs w:val="28"/>
          <w:lang w:val="uk-UA"/>
        </w:rPr>
        <w:t xml:space="preserve">. </w:t>
      </w:r>
    </w:p>
    <w:p w:rsidR="00227FEF" w:rsidRPr="00C13EAC" w:rsidRDefault="00494B9D" w:rsidP="00C13EAC">
      <w:pPr>
        <w:spacing w:line="276" w:lineRule="auto"/>
        <w:ind w:firstLine="708"/>
        <w:jc w:val="both"/>
        <w:rPr>
          <w:lang w:val="uk-UA"/>
        </w:rPr>
      </w:pPr>
      <w:r>
        <w:rPr>
          <w:rFonts w:ascii="Times New Roman" w:hAnsi="Times New Roman"/>
          <w:sz w:val="28"/>
          <w:szCs w:val="28"/>
          <w:lang w:val="uk-UA"/>
        </w:rPr>
        <w:t>10.</w:t>
      </w:r>
      <w:r>
        <w:rPr>
          <w:rFonts w:ascii="Times New Roman" w:hAnsi="Times New Roman"/>
          <w:color w:val="212529"/>
          <w:sz w:val="28"/>
          <w:szCs w:val="28"/>
          <w:lang w:val="uk-UA" w:eastAsia="ru-RU"/>
        </w:rPr>
        <w:t xml:space="preserve"> </w:t>
      </w:r>
      <w:r>
        <w:rPr>
          <w:rFonts w:ascii="Times New Roman" w:hAnsi="Times New Roman"/>
          <w:sz w:val="28"/>
          <w:szCs w:val="28"/>
          <w:lang w:val="uk-UA" w:eastAsia="ru-RU"/>
        </w:rPr>
        <w:t>Відділ земельних відносин та екології</w:t>
      </w:r>
      <w:r>
        <w:rPr>
          <w:rFonts w:ascii="Times New Roman" w:hAnsi="Times New Roman"/>
          <w:sz w:val="28"/>
          <w:szCs w:val="28"/>
          <w:lang w:val="uk-UA"/>
        </w:rPr>
        <w:t xml:space="preserve"> Тур’є- реметівської сільської ради</w:t>
      </w:r>
      <w:r>
        <w:rPr>
          <w:rFonts w:ascii="Times New Roman" w:hAnsi="Times New Roman"/>
          <w:sz w:val="28"/>
          <w:szCs w:val="28"/>
          <w:lang w:val="uk-UA" w:eastAsia="ru-RU"/>
        </w:rPr>
        <w:t xml:space="preserve"> .</w:t>
      </w:r>
    </w:p>
    <w:p w:rsidR="00227FEF" w:rsidRPr="00AC1C09" w:rsidRDefault="00494B9D" w:rsidP="00C13EAC">
      <w:pPr>
        <w:spacing w:line="276" w:lineRule="auto"/>
        <w:ind w:firstLine="708"/>
        <w:jc w:val="both"/>
        <w:rPr>
          <w:lang w:val="uk-UA"/>
        </w:rPr>
      </w:pPr>
      <w:r>
        <w:rPr>
          <w:rFonts w:ascii="Times New Roman" w:hAnsi="Times New Roman"/>
          <w:sz w:val="28"/>
          <w:szCs w:val="28"/>
          <w:lang w:val="uk-UA" w:eastAsia="ru-RU"/>
        </w:rPr>
        <w:t>11.</w:t>
      </w:r>
      <w:r>
        <w:rPr>
          <w:rFonts w:ascii="Times New Roman" w:hAnsi="Times New Roman"/>
          <w:sz w:val="28"/>
          <w:szCs w:val="28"/>
          <w:lang w:val="ru-RU" w:eastAsia="ru-RU"/>
        </w:rPr>
        <w:t xml:space="preserve"> Відділ житлово-комунального господарства, транспорту та благоустрою</w:t>
      </w:r>
      <w:r>
        <w:rPr>
          <w:rFonts w:ascii="Times New Roman" w:hAnsi="Times New Roman"/>
          <w:sz w:val="28"/>
          <w:szCs w:val="28"/>
          <w:lang w:val="uk-UA"/>
        </w:rPr>
        <w:t xml:space="preserve"> Тур’є- реметівської сільської ради</w:t>
      </w:r>
      <w:r>
        <w:rPr>
          <w:rFonts w:ascii="Times New Roman" w:hAnsi="Times New Roman"/>
          <w:sz w:val="28"/>
          <w:szCs w:val="28"/>
          <w:lang w:val="uk-UA" w:eastAsia="ru-RU"/>
        </w:rPr>
        <w:t>.</w:t>
      </w:r>
    </w:p>
    <w:p w:rsidR="00227FEF" w:rsidRDefault="00494B9D" w:rsidP="00C13EAC">
      <w:pPr>
        <w:spacing w:line="276" w:lineRule="auto"/>
        <w:ind w:firstLine="708"/>
        <w:jc w:val="both"/>
        <w:rPr>
          <w:rFonts w:ascii="Times New Roman" w:hAnsi="Times New Roman"/>
          <w:sz w:val="28"/>
          <w:szCs w:val="28"/>
          <w:lang w:val="uk-UA" w:eastAsia="ru-RU"/>
        </w:rPr>
      </w:pPr>
      <w:r>
        <w:rPr>
          <w:rFonts w:ascii="Times New Roman" w:hAnsi="Times New Roman"/>
          <w:sz w:val="28"/>
          <w:szCs w:val="28"/>
          <w:lang w:val="uk-UA" w:eastAsia="ru-RU"/>
        </w:rPr>
        <w:t>12. Відділ з ветеранської політики Ужгородської  РВА в Закарпатській області.</w:t>
      </w:r>
    </w:p>
    <w:p w:rsidR="00227FEF" w:rsidRPr="005E48D4" w:rsidRDefault="00494B9D" w:rsidP="00C13EAC">
      <w:pPr>
        <w:pStyle w:val="Default"/>
        <w:spacing w:line="276" w:lineRule="auto"/>
        <w:ind w:firstLine="708"/>
        <w:rPr>
          <w:lang w:val="uk-UA"/>
        </w:rPr>
      </w:pPr>
      <w:r>
        <w:rPr>
          <w:sz w:val="28"/>
          <w:szCs w:val="28"/>
          <w:lang w:val="uk-UA" w:eastAsia="ru-RU"/>
        </w:rPr>
        <w:t>13.</w:t>
      </w:r>
      <w:r>
        <w:rPr>
          <w:lang w:val="uk-UA"/>
        </w:rPr>
        <w:t xml:space="preserve"> </w:t>
      </w:r>
      <w:r>
        <w:rPr>
          <w:sz w:val="28"/>
          <w:szCs w:val="28"/>
          <w:lang w:val="uk-UA"/>
        </w:rPr>
        <w:t>Івано-Франківське міжрегіональне  управління Міністерства юстиції України.</w:t>
      </w:r>
    </w:p>
    <w:p w:rsidR="00227FEF" w:rsidRDefault="00494B9D" w:rsidP="00C13EAC">
      <w:pPr>
        <w:pStyle w:val="Default"/>
        <w:spacing w:line="276" w:lineRule="auto"/>
        <w:ind w:firstLine="708"/>
        <w:rPr>
          <w:lang w:val="uk-UA"/>
        </w:rPr>
      </w:pPr>
      <w:r>
        <w:rPr>
          <w:sz w:val="28"/>
          <w:szCs w:val="28"/>
          <w:lang w:val="uk-UA"/>
        </w:rPr>
        <w:t>14. ГУ ДМС України в Закарпатській області.</w:t>
      </w:r>
    </w:p>
    <w:bookmarkEnd w:id="0"/>
    <w:p w:rsidR="00227FEF" w:rsidRDefault="00494B9D" w:rsidP="00F155F9">
      <w:pPr>
        <w:spacing w:line="276" w:lineRule="auto"/>
        <w:ind w:firstLine="708"/>
        <w:jc w:val="both"/>
        <w:rPr>
          <w:rFonts w:ascii="Times New Roman" w:hAnsi="Times New Roman"/>
          <w:color w:val="212529"/>
          <w:sz w:val="21"/>
          <w:szCs w:val="21"/>
          <w:shd w:val="clear" w:color="auto" w:fill="FFFFFF"/>
          <w:lang w:val="uk-UA"/>
        </w:rPr>
      </w:pPr>
      <w:r>
        <w:rPr>
          <w:rFonts w:ascii="Times New Roman" w:hAnsi="Times New Roman"/>
          <w:sz w:val="28"/>
          <w:szCs w:val="28"/>
          <w:lang w:val="uk-UA"/>
        </w:rPr>
        <w:t xml:space="preserve">Центр надає адміністративні послуги суб’єктом надання яких є безпосередньо, зокрема державна реєстрація актів цивільного стану, реєстрація місця проживання /перебування громадян, </w:t>
      </w:r>
      <w:bookmarkStart w:id="3" w:name="_Hlk117521405"/>
      <w:r>
        <w:rPr>
          <w:rFonts w:ascii="Times New Roman" w:hAnsi="Times New Roman"/>
          <w:sz w:val="28"/>
          <w:szCs w:val="28"/>
          <w:lang w:val="uk-UA"/>
        </w:rPr>
        <w:t xml:space="preserve">державна реєстрація права власності на нерухоме майно та їх обтяжень тощо. </w:t>
      </w:r>
      <w:bookmarkEnd w:id="3"/>
    </w:p>
    <w:p w:rsidR="00227FEF" w:rsidRPr="005E48D4" w:rsidRDefault="00494B9D" w:rsidP="00F155F9">
      <w:pPr>
        <w:tabs>
          <w:tab w:val="left" w:pos="708"/>
        </w:tabs>
        <w:spacing w:line="276" w:lineRule="auto"/>
        <w:ind w:firstLine="567"/>
        <w:jc w:val="both"/>
        <w:rPr>
          <w:lang w:val="uk-UA"/>
        </w:rPr>
      </w:pPr>
      <w:r>
        <w:rPr>
          <w:rFonts w:ascii="Times New Roman" w:hAnsi="Times New Roman"/>
          <w:sz w:val="28"/>
          <w:szCs w:val="28"/>
          <w:lang w:val="uk-UA"/>
        </w:rPr>
        <w:t xml:space="preserve">У квітні 2026 року у центрі </w:t>
      </w:r>
      <w:r>
        <w:rPr>
          <w:rFonts w:ascii="Times New Roman" w:hAnsi="Times New Roman"/>
          <w:color w:val="000000"/>
          <w:sz w:val="28"/>
          <w:szCs w:val="28"/>
          <w:lang w:val="uk-UA"/>
        </w:rPr>
        <w:t>надання адміністративних послуг</w:t>
      </w:r>
      <w:r>
        <w:rPr>
          <w:rFonts w:ascii="Times New Roman" w:hAnsi="Times New Roman"/>
          <w:sz w:val="28"/>
          <w:szCs w:val="28"/>
          <w:lang w:val="uk-UA"/>
        </w:rPr>
        <w:t xml:space="preserve"> запроваджено надання адміністративних послуг з </w:t>
      </w:r>
      <w:r>
        <w:rPr>
          <w:rFonts w:ascii="Times New Roman" w:hAnsi="Times New Roman"/>
          <w:color w:val="000000"/>
          <w:sz w:val="22"/>
          <w:szCs w:val="22"/>
          <w:lang w:val="uk-UA"/>
        </w:rPr>
        <w:t xml:space="preserve">  </w:t>
      </w:r>
      <w:r>
        <w:rPr>
          <w:rFonts w:ascii="Times New Roman" w:hAnsi="Times New Roman"/>
          <w:sz w:val="28"/>
          <w:szCs w:val="28"/>
          <w:lang w:val="uk-UA"/>
        </w:rPr>
        <w:t>о</w:t>
      </w:r>
      <w:r>
        <w:rPr>
          <w:rFonts w:ascii="Times New Roman" w:hAnsi="Times New Roman"/>
          <w:sz w:val="28"/>
          <w:szCs w:val="28"/>
          <w:shd w:val="clear" w:color="auto" w:fill="FFFFFF"/>
          <w:lang w:val="uk-UA"/>
        </w:rPr>
        <w:t>формлення і видачі паспорта громадянина України з безконтактним електронним носієм та оформлення і видача паспорта громадянина України для виїзду за кордон з безконтактним електронним носієм.</w:t>
      </w:r>
    </w:p>
    <w:p w:rsidR="00227FEF" w:rsidRDefault="00494B9D" w:rsidP="00F155F9">
      <w:pPr>
        <w:tabs>
          <w:tab w:val="left" w:pos="708"/>
        </w:tabs>
        <w:spacing w:line="276" w:lineRule="auto"/>
        <w:ind w:firstLine="567"/>
        <w:jc w:val="both"/>
        <w:rPr>
          <w:rFonts w:ascii="Times New Roman" w:hAnsi="Times New Roman"/>
          <w:color w:val="333333"/>
          <w:sz w:val="28"/>
          <w:szCs w:val="28"/>
          <w:shd w:val="clear" w:color="auto" w:fill="FFFFFF"/>
          <w:lang w:val="ru-RU"/>
        </w:rPr>
      </w:pPr>
      <w:r>
        <w:rPr>
          <w:rFonts w:ascii="Times New Roman" w:hAnsi="Times New Roman"/>
          <w:sz w:val="28"/>
          <w:szCs w:val="28"/>
          <w:shd w:val="clear" w:color="auto" w:fill="FFFFFF"/>
          <w:lang w:val="uk-UA"/>
        </w:rPr>
        <w:t>У приміщенні Центру працює  фахівець з супроводу ветеранів війни та демобілізованих осіб</w:t>
      </w:r>
      <w:r>
        <w:rPr>
          <w:rFonts w:ascii="Times New Roman" w:hAnsi="Times New Roman"/>
          <w:color w:val="333333"/>
          <w:sz w:val="28"/>
          <w:szCs w:val="28"/>
          <w:shd w:val="clear" w:color="auto" w:fill="FFFFFF"/>
          <w:lang w:val="uk-UA"/>
        </w:rPr>
        <w:t>.</w:t>
      </w:r>
    </w:p>
    <w:p w:rsidR="00227FEF" w:rsidRPr="005E48D4" w:rsidRDefault="00494B9D" w:rsidP="00F155F9">
      <w:pPr>
        <w:tabs>
          <w:tab w:val="left" w:pos="513"/>
        </w:tabs>
        <w:spacing w:line="276" w:lineRule="auto"/>
        <w:ind w:left="-57"/>
        <w:jc w:val="both"/>
        <w:rPr>
          <w:lang w:val="ru-RU"/>
        </w:rPr>
      </w:pPr>
      <w:r>
        <w:rPr>
          <w:rFonts w:ascii="Times New Roman" w:hAnsi="Times New Roman"/>
          <w:sz w:val="28"/>
          <w:szCs w:val="28"/>
          <w:lang w:val="uk-UA"/>
        </w:rPr>
        <w:tab/>
        <w:t xml:space="preserve">Однак, ЦНАП не оснащений </w:t>
      </w:r>
      <w:r>
        <w:rPr>
          <w:rStyle w:val="a5"/>
          <w:rFonts w:ascii="Times New Roman" w:hAnsi="Times New Roman"/>
          <w:b w:val="0"/>
          <w:bCs w:val="0"/>
          <w:color w:val="0A0A0A"/>
          <w:sz w:val="28"/>
          <w:szCs w:val="28"/>
          <w:shd w:val="clear" w:color="auto" w:fill="FFFFFF"/>
          <w:lang w:val="ru-RU"/>
        </w:rPr>
        <w:t>«Мобільним кейсом</w:t>
      </w:r>
      <w:r>
        <w:rPr>
          <w:rStyle w:val="a5"/>
          <w:rFonts w:ascii="Times New Roman" w:hAnsi="Times New Roman"/>
          <w:color w:val="0A0A0A"/>
          <w:sz w:val="28"/>
          <w:szCs w:val="28"/>
          <w:shd w:val="clear" w:color="auto" w:fill="FFFFFF"/>
          <w:lang w:val="ru-RU"/>
        </w:rPr>
        <w:t>»</w:t>
      </w:r>
      <w:r>
        <w:rPr>
          <w:rFonts w:ascii="Times New Roman" w:hAnsi="Times New Roman"/>
          <w:color w:val="0A0A0A"/>
          <w:sz w:val="28"/>
          <w:szCs w:val="28"/>
          <w:shd w:val="clear" w:color="auto" w:fill="FFFFFF"/>
          <w:lang w:val="ru-RU"/>
        </w:rPr>
        <w:t>.  Це</w:t>
      </w:r>
      <w:r>
        <w:rPr>
          <w:rFonts w:ascii="Times New Roman" w:hAnsi="Times New Roman"/>
          <w:color w:val="0A0A0A"/>
          <w:sz w:val="28"/>
          <w:szCs w:val="28"/>
          <w:shd w:val="clear" w:color="auto" w:fill="FFFFFF"/>
        </w:rPr>
        <w:t> </w:t>
      </w:r>
      <w:r>
        <w:rPr>
          <w:rFonts w:ascii="Times New Roman" w:hAnsi="Times New Roman"/>
          <w:sz w:val="28"/>
          <w:szCs w:val="28"/>
          <w:lang w:val="ru-RU"/>
        </w:rPr>
        <w:t>спеціальний автоматизований портативний комплекс (у вигляді захищеної валізки), який дозволяє адміністраторам ЦНАП надавати послуги на виїзді</w:t>
      </w:r>
      <w:r>
        <w:rPr>
          <w:rFonts w:ascii="Times New Roman" w:hAnsi="Times New Roman"/>
          <w:color w:val="0A0A0A"/>
          <w:sz w:val="28"/>
          <w:szCs w:val="28"/>
          <w:shd w:val="clear" w:color="auto" w:fill="FFFFFF"/>
          <w:lang w:val="ru-RU"/>
        </w:rPr>
        <w:t xml:space="preserve">. Це повноцінне робоче місце, обладнане ноутбуком, портативним принтером, сканером, зчитувачем </w:t>
      </w:r>
      <w:r>
        <w:rPr>
          <w:rFonts w:ascii="Times New Roman" w:hAnsi="Times New Roman"/>
          <w:color w:val="0A0A0A"/>
          <w:sz w:val="28"/>
          <w:szCs w:val="28"/>
          <w:shd w:val="clear" w:color="auto" w:fill="FFFFFF"/>
        </w:rPr>
        <w:t>ID</w:t>
      </w:r>
      <w:r>
        <w:rPr>
          <w:rFonts w:ascii="Times New Roman" w:hAnsi="Times New Roman"/>
          <w:color w:val="0A0A0A"/>
          <w:sz w:val="28"/>
          <w:szCs w:val="28"/>
          <w:shd w:val="clear" w:color="auto" w:fill="FFFFFF"/>
          <w:lang w:val="ru-RU"/>
        </w:rPr>
        <w:t xml:space="preserve">-карток та модемом </w:t>
      </w:r>
      <w:proofErr w:type="gramStart"/>
      <w:r>
        <w:rPr>
          <w:rFonts w:ascii="Times New Roman" w:hAnsi="Times New Roman"/>
          <w:color w:val="0A0A0A"/>
          <w:sz w:val="28"/>
          <w:szCs w:val="28"/>
          <w:shd w:val="clear" w:color="auto" w:fill="FFFFFF"/>
          <w:lang w:val="ru-RU"/>
        </w:rPr>
        <w:t>для доступу</w:t>
      </w:r>
      <w:proofErr w:type="gramEnd"/>
      <w:r>
        <w:rPr>
          <w:rFonts w:ascii="Times New Roman" w:hAnsi="Times New Roman"/>
          <w:color w:val="0A0A0A"/>
          <w:sz w:val="28"/>
          <w:szCs w:val="28"/>
          <w:shd w:val="clear" w:color="auto" w:fill="FFFFFF"/>
          <w:lang w:val="ru-RU"/>
        </w:rPr>
        <w:t xml:space="preserve"> до інтернету.</w:t>
      </w:r>
      <w:r>
        <w:rPr>
          <w:rStyle w:val="vkekvd"/>
          <w:rFonts w:ascii="Times New Roman" w:hAnsi="Times New Roman"/>
          <w:color w:val="0A0A0A"/>
          <w:sz w:val="28"/>
          <w:szCs w:val="28"/>
          <w:shd w:val="clear" w:color="auto" w:fill="FFFFFF"/>
        </w:rPr>
        <w:t> </w:t>
      </w:r>
      <w:r>
        <w:rPr>
          <w:rFonts w:ascii="Times New Roman" w:hAnsi="Times New Roman"/>
          <w:color w:val="000000"/>
          <w:sz w:val="28"/>
          <w:szCs w:val="28"/>
          <w:lang w:val="uk-UA"/>
        </w:rPr>
        <w:t>Придбання вищезазначеного дивайсу вирішить проблемне питання у наданні адміністративних послуг</w:t>
      </w:r>
      <w:r>
        <w:rPr>
          <w:rFonts w:ascii="Times New Roman" w:hAnsi="Times New Roman"/>
          <w:sz w:val="28"/>
          <w:szCs w:val="28"/>
          <w:lang w:val="uk-UA"/>
        </w:rPr>
        <w:t xml:space="preserve"> з</w:t>
      </w:r>
      <w:r>
        <w:rPr>
          <w:rFonts w:ascii="Times New Roman" w:hAnsi="Times New Roman"/>
          <w:color w:val="0A0A0A"/>
          <w:sz w:val="28"/>
          <w:szCs w:val="28"/>
          <w:shd w:val="clear" w:color="auto" w:fill="FFFFFF"/>
          <w:lang w:val="uk-UA"/>
        </w:rPr>
        <w:t xml:space="preserve"> обслуговування маломобільних груп населення, які не можуть самостійно відвідати ЦНАП (люди, які досягли 80-річного віку, особи з інвалідністю </w:t>
      </w:r>
      <w:r>
        <w:rPr>
          <w:rFonts w:ascii="Times New Roman" w:hAnsi="Times New Roman"/>
          <w:color w:val="0A0A0A"/>
          <w:sz w:val="28"/>
          <w:szCs w:val="28"/>
          <w:shd w:val="clear" w:color="auto" w:fill="FFFFFF"/>
        </w:rPr>
        <w:t>I</w:t>
      </w:r>
      <w:r>
        <w:rPr>
          <w:rFonts w:ascii="Times New Roman" w:hAnsi="Times New Roman"/>
          <w:color w:val="0A0A0A"/>
          <w:sz w:val="28"/>
          <w:szCs w:val="28"/>
          <w:shd w:val="clear" w:color="auto" w:fill="FFFFFF"/>
          <w:lang w:val="ru-RU"/>
        </w:rPr>
        <w:t xml:space="preserve"> групи</w:t>
      </w:r>
      <w:r>
        <w:rPr>
          <w:rFonts w:ascii="Times New Roman" w:hAnsi="Times New Roman"/>
          <w:color w:val="0A0A0A"/>
          <w:sz w:val="28"/>
          <w:szCs w:val="28"/>
          <w:shd w:val="clear" w:color="auto" w:fill="FFFFFF"/>
          <w:lang w:val="uk-UA"/>
        </w:rPr>
        <w:t>, г</w:t>
      </w:r>
      <w:r>
        <w:rPr>
          <w:rFonts w:ascii="Times New Roman" w:hAnsi="Times New Roman"/>
          <w:color w:val="0A0A0A"/>
          <w:sz w:val="28"/>
          <w:szCs w:val="28"/>
          <w:shd w:val="clear" w:color="auto" w:fill="FFFFFF"/>
          <w:lang w:val="ru-RU"/>
        </w:rPr>
        <w:t xml:space="preserve">ромадяни які за станом здоров'я  не здатні пересуватися тощо). </w:t>
      </w:r>
    </w:p>
    <w:p w:rsidR="00227FEF" w:rsidRDefault="00494B9D" w:rsidP="00F155F9">
      <w:pPr>
        <w:tabs>
          <w:tab w:val="left" w:pos="513"/>
        </w:tabs>
        <w:spacing w:line="276" w:lineRule="auto"/>
        <w:ind w:left="-57"/>
        <w:jc w:val="both"/>
        <w:rPr>
          <w:rFonts w:ascii="Times New Roman" w:hAnsi="Times New Roman"/>
          <w:sz w:val="28"/>
          <w:szCs w:val="28"/>
          <w:lang w:val="uk-UA"/>
        </w:rPr>
      </w:pPr>
      <w:r>
        <w:rPr>
          <w:rFonts w:ascii="Times New Roman" w:hAnsi="Times New Roman"/>
          <w:sz w:val="28"/>
          <w:szCs w:val="28"/>
          <w:lang w:val="uk-UA"/>
        </w:rPr>
        <w:tab/>
        <w:t>Для розширення спектру надання  адміністративних послуг  є потреба у придбанні комплексу для оформлення і видачі посвідчень водія та реєстрації транспортних засобів.</w:t>
      </w:r>
    </w:p>
    <w:p w:rsidR="00227FEF" w:rsidRDefault="00494B9D" w:rsidP="00F155F9">
      <w:pPr>
        <w:tabs>
          <w:tab w:val="left" w:pos="513"/>
        </w:tabs>
        <w:spacing w:line="276" w:lineRule="auto"/>
        <w:ind w:left="-57"/>
        <w:jc w:val="both"/>
        <w:rPr>
          <w:rFonts w:ascii="Times New Roman" w:hAnsi="Times New Roman"/>
          <w:sz w:val="28"/>
          <w:szCs w:val="28"/>
          <w:lang w:val="uk-UA"/>
        </w:rPr>
      </w:pPr>
      <w:r>
        <w:rPr>
          <w:rFonts w:ascii="Times New Roman" w:hAnsi="Times New Roman"/>
          <w:sz w:val="28"/>
          <w:szCs w:val="28"/>
          <w:lang w:val="uk-UA"/>
        </w:rPr>
        <w:tab/>
      </w:r>
    </w:p>
    <w:p w:rsidR="00C13EAC" w:rsidRDefault="00C13EAC" w:rsidP="00F155F9">
      <w:pPr>
        <w:tabs>
          <w:tab w:val="left" w:pos="513"/>
        </w:tabs>
        <w:spacing w:line="276" w:lineRule="auto"/>
        <w:ind w:left="-57"/>
        <w:jc w:val="both"/>
        <w:rPr>
          <w:rFonts w:ascii="Times New Roman CYR" w:hAnsi="Times New Roman CYR" w:cs="Times New Roman CYR"/>
          <w:color w:val="000000"/>
          <w:sz w:val="28"/>
          <w:szCs w:val="28"/>
          <w:lang w:val="uk-UA"/>
        </w:rPr>
      </w:pPr>
    </w:p>
    <w:p w:rsidR="00227FEF" w:rsidRDefault="00494B9D">
      <w:pPr>
        <w:spacing w:before="240" w:after="120"/>
        <w:jc w:val="center"/>
        <w:rPr>
          <w:rFonts w:ascii="Times New Roman" w:hAnsi="Times New Roman"/>
          <w:sz w:val="28"/>
          <w:szCs w:val="28"/>
          <w:lang w:val="ru-RU"/>
        </w:rPr>
      </w:pPr>
      <w:r>
        <w:rPr>
          <w:rFonts w:ascii="Times New Roman" w:eastAsia="Arial" w:hAnsi="Times New Roman"/>
          <w:b/>
          <w:bCs/>
          <w:sz w:val="28"/>
          <w:szCs w:val="28"/>
          <w:lang w:val="ru-RU"/>
        </w:rPr>
        <w:lastRenderedPageBreak/>
        <w:t>Таблиця 6.</w:t>
      </w:r>
      <w:r>
        <w:rPr>
          <w:rFonts w:ascii="Times New Roman" w:eastAsia="Arial" w:hAnsi="Times New Roman"/>
          <w:sz w:val="28"/>
          <w:szCs w:val="28"/>
          <w:lang w:val="ru-RU"/>
        </w:rPr>
        <w:t xml:space="preserve"> Об’єкти соціальної інфраструктури громади</w:t>
      </w:r>
    </w:p>
    <w:tbl>
      <w:tblPr>
        <w:tblW w:w="9360" w:type="dxa"/>
        <w:tblLayout w:type="fixed"/>
        <w:tblCellMar>
          <w:top w:w="60" w:type="dxa"/>
          <w:left w:w="100" w:type="dxa"/>
          <w:bottom w:w="60" w:type="dxa"/>
          <w:right w:w="100" w:type="dxa"/>
        </w:tblCellMar>
        <w:tblLook w:val="0000" w:firstRow="0" w:lastRow="0" w:firstColumn="0" w:lastColumn="0" w:noHBand="0" w:noVBand="0"/>
      </w:tblPr>
      <w:tblGrid>
        <w:gridCol w:w="2434"/>
        <w:gridCol w:w="1471"/>
        <w:gridCol w:w="2221"/>
        <w:gridCol w:w="3234"/>
      </w:tblGrid>
      <w:tr w:rsidR="00227FEF">
        <w:tc>
          <w:tcPr>
            <w:tcW w:w="24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t>Об’єкт</w:t>
            </w:r>
          </w:p>
        </w:tc>
        <w:tc>
          <w:tcPr>
            <w:tcW w:w="14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t>Кількість</w:t>
            </w:r>
          </w:p>
        </w:tc>
        <w:tc>
          <w:tcPr>
            <w:tcW w:w="222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t>Розміщення</w:t>
            </w:r>
          </w:p>
        </w:tc>
        <w:tc>
          <w:tcPr>
            <w:tcW w:w="32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t>Характеристика / проблеми</w:t>
            </w:r>
          </w:p>
        </w:tc>
      </w:tr>
      <w:tr w:rsidR="00227FEF" w:rsidRPr="00F155F9">
        <w:tc>
          <w:tcPr>
            <w:tcW w:w="2434"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hAnsi="Times New Roman"/>
                <w:b/>
                <w:bCs/>
                <w:color w:val="000000"/>
                <w:sz w:val="28"/>
                <w:szCs w:val="28"/>
                <w:lang w:val="uk-UA"/>
              </w:rPr>
              <w:t>Заклади загальної середньої освіти</w:t>
            </w:r>
          </w:p>
        </w:tc>
        <w:tc>
          <w:tcPr>
            <w:tcW w:w="1471"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11</w:t>
            </w:r>
          </w:p>
        </w:tc>
        <w:tc>
          <w:tcPr>
            <w:tcW w:w="2221"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eastAsia="Arial" w:hAnsi="Times New Roman"/>
                <w:color w:val="000000"/>
                <w:sz w:val="28"/>
                <w:szCs w:val="28"/>
                <w:lang w:val="ru-RU"/>
              </w:rPr>
            </w:pPr>
            <w:r>
              <w:rPr>
                <w:rFonts w:ascii="Times New Roman" w:eastAsia="Arial" w:hAnsi="Times New Roman"/>
                <w:color w:val="000000"/>
                <w:sz w:val="28"/>
                <w:szCs w:val="28"/>
                <w:lang w:val="ru-RU"/>
              </w:rPr>
              <w:t>Полянська Гута</w:t>
            </w:r>
          </w:p>
          <w:p w:rsidR="00227FEF" w:rsidRDefault="00494B9D">
            <w:pPr>
              <w:rPr>
                <w:rFonts w:ascii="Times New Roman" w:eastAsia="Arial" w:hAnsi="Times New Roman"/>
                <w:color w:val="000000"/>
                <w:sz w:val="28"/>
                <w:szCs w:val="28"/>
                <w:lang w:val="ru-RU"/>
              </w:rPr>
            </w:pPr>
            <w:r>
              <w:rPr>
                <w:rFonts w:ascii="Times New Roman" w:eastAsia="Arial" w:hAnsi="Times New Roman"/>
                <w:color w:val="000000"/>
                <w:sz w:val="28"/>
                <w:szCs w:val="28"/>
                <w:lang w:val="ru-RU"/>
              </w:rPr>
              <w:t xml:space="preserve">Тур’я Поляна Тур’я-Бистра </w:t>
            </w:r>
          </w:p>
          <w:p w:rsidR="00227FEF" w:rsidRDefault="00494B9D">
            <w:pPr>
              <w:rPr>
                <w:rFonts w:ascii="Times New Roman" w:eastAsia="Arial" w:hAnsi="Times New Roman"/>
                <w:color w:val="000000"/>
                <w:sz w:val="28"/>
                <w:szCs w:val="28"/>
                <w:lang w:val="ru-RU"/>
              </w:rPr>
            </w:pPr>
            <w:r>
              <w:rPr>
                <w:rFonts w:ascii="Times New Roman" w:eastAsia="Arial" w:hAnsi="Times New Roman"/>
                <w:color w:val="000000"/>
                <w:sz w:val="28"/>
                <w:szCs w:val="28"/>
                <w:lang w:val="ru-RU"/>
              </w:rPr>
              <w:t>Порошково</w:t>
            </w:r>
          </w:p>
          <w:p w:rsidR="00227FEF" w:rsidRDefault="00494B9D">
            <w:pPr>
              <w:rPr>
                <w:rFonts w:ascii="Times New Roman" w:eastAsia="Arial" w:hAnsi="Times New Roman"/>
                <w:color w:val="000000"/>
                <w:sz w:val="28"/>
                <w:szCs w:val="28"/>
                <w:lang w:val="ru-RU"/>
              </w:rPr>
            </w:pPr>
            <w:r>
              <w:rPr>
                <w:rFonts w:ascii="Times New Roman" w:eastAsia="Arial" w:hAnsi="Times New Roman"/>
                <w:color w:val="000000"/>
                <w:sz w:val="28"/>
                <w:szCs w:val="28"/>
                <w:lang w:val="ru-RU"/>
              </w:rPr>
              <w:t xml:space="preserve">Мокра  </w:t>
            </w:r>
          </w:p>
          <w:p w:rsidR="00227FEF" w:rsidRDefault="00494B9D">
            <w:pPr>
              <w:rPr>
                <w:rFonts w:ascii="Times New Roman" w:eastAsia="Arial" w:hAnsi="Times New Roman"/>
                <w:color w:val="000000"/>
                <w:sz w:val="28"/>
                <w:szCs w:val="28"/>
                <w:lang w:val="ru-RU"/>
              </w:rPr>
            </w:pPr>
            <w:r>
              <w:rPr>
                <w:rFonts w:ascii="Times New Roman" w:eastAsia="Arial" w:hAnsi="Times New Roman"/>
                <w:color w:val="000000"/>
                <w:sz w:val="28"/>
                <w:szCs w:val="28"/>
                <w:lang w:val="ru-RU"/>
              </w:rPr>
              <w:t xml:space="preserve">Тур’я Пасіка </w:t>
            </w:r>
          </w:p>
          <w:p w:rsidR="00227FEF" w:rsidRDefault="00494B9D">
            <w:pPr>
              <w:rPr>
                <w:rFonts w:ascii="Times New Roman" w:eastAsia="Arial" w:hAnsi="Times New Roman"/>
                <w:color w:val="000000"/>
                <w:sz w:val="28"/>
                <w:szCs w:val="28"/>
                <w:lang w:val="ru-RU"/>
              </w:rPr>
            </w:pPr>
            <w:r>
              <w:rPr>
                <w:rFonts w:ascii="Times New Roman" w:eastAsia="Arial" w:hAnsi="Times New Roman"/>
                <w:color w:val="000000"/>
                <w:sz w:val="28"/>
                <w:szCs w:val="28"/>
                <w:lang w:val="ru-RU"/>
              </w:rPr>
              <w:t>Раково</w:t>
            </w:r>
          </w:p>
          <w:p w:rsidR="00227FEF" w:rsidRDefault="00494B9D">
            <w:pPr>
              <w:rPr>
                <w:rFonts w:ascii="Times New Roman" w:eastAsia="Arial" w:hAnsi="Times New Roman"/>
                <w:color w:val="000000"/>
                <w:sz w:val="28"/>
                <w:szCs w:val="28"/>
                <w:lang w:val="ru-RU"/>
              </w:rPr>
            </w:pPr>
            <w:r>
              <w:rPr>
                <w:rFonts w:ascii="Times New Roman" w:eastAsia="Arial" w:hAnsi="Times New Roman"/>
                <w:color w:val="000000"/>
                <w:sz w:val="28"/>
                <w:szCs w:val="28"/>
                <w:lang w:val="ru-RU"/>
              </w:rPr>
              <w:t>Тур’ї Ремети</w:t>
            </w:r>
          </w:p>
          <w:p w:rsidR="00227FEF" w:rsidRDefault="00494B9D">
            <w:pPr>
              <w:rPr>
                <w:rFonts w:ascii="Times New Roman" w:eastAsia="Arial" w:hAnsi="Times New Roman"/>
                <w:color w:val="000000"/>
                <w:sz w:val="28"/>
                <w:szCs w:val="28"/>
                <w:lang w:val="ru-RU"/>
              </w:rPr>
            </w:pPr>
            <w:r>
              <w:rPr>
                <w:rFonts w:ascii="Times New Roman" w:eastAsia="Arial" w:hAnsi="Times New Roman"/>
                <w:color w:val="000000"/>
                <w:sz w:val="28"/>
                <w:szCs w:val="28"/>
                <w:lang w:val="ru-RU"/>
              </w:rPr>
              <w:t>Туриця</w:t>
            </w:r>
          </w:p>
          <w:p w:rsidR="00227FEF" w:rsidRDefault="00494B9D">
            <w:pPr>
              <w:rPr>
                <w:rFonts w:ascii="Times New Roman" w:eastAsia="Arial" w:hAnsi="Times New Roman"/>
                <w:color w:val="000000"/>
                <w:sz w:val="28"/>
                <w:szCs w:val="28"/>
                <w:lang w:val="ru-RU"/>
              </w:rPr>
            </w:pPr>
            <w:r>
              <w:rPr>
                <w:rFonts w:ascii="Times New Roman" w:eastAsia="Arial" w:hAnsi="Times New Roman"/>
                <w:color w:val="000000"/>
                <w:sz w:val="28"/>
                <w:szCs w:val="28"/>
                <w:lang w:val="ru-RU"/>
              </w:rPr>
              <w:t>Турички</w:t>
            </w:r>
          </w:p>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Вільшинки</w:t>
            </w:r>
          </w:p>
        </w:tc>
        <w:tc>
          <w:tcPr>
            <w:tcW w:w="3234"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Малокомплектність у малих селах; зношеність будівель</w:t>
            </w:r>
          </w:p>
        </w:tc>
      </w:tr>
      <w:tr w:rsidR="00227FEF" w:rsidRPr="00F155F9">
        <w:tc>
          <w:tcPr>
            <w:tcW w:w="2434"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uk-UA"/>
              </w:rPr>
            </w:pPr>
            <w:r>
              <w:rPr>
                <w:rFonts w:ascii="Times New Roman" w:eastAsia="Arial" w:hAnsi="Times New Roman"/>
                <w:b/>
                <w:bCs/>
                <w:color w:val="000000"/>
                <w:sz w:val="28"/>
                <w:szCs w:val="28"/>
                <w:lang w:val="uk-UA"/>
              </w:rPr>
              <w:t xml:space="preserve">Заклади дошкільної освіти </w:t>
            </w:r>
          </w:p>
        </w:tc>
        <w:tc>
          <w:tcPr>
            <w:tcW w:w="1471"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lang w:val="uk-UA"/>
              </w:rPr>
              <w:t>6 + 3 дошкільні підрозділи гімназій</w:t>
            </w:r>
          </w:p>
        </w:tc>
        <w:tc>
          <w:tcPr>
            <w:tcW w:w="2221"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eastAsia="Arial" w:hAnsi="Times New Roman"/>
                <w:color w:val="000000"/>
                <w:sz w:val="28"/>
                <w:szCs w:val="28"/>
                <w:lang w:val="ru-RU"/>
              </w:rPr>
            </w:pPr>
            <w:r>
              <w:rPr>
                <w:rFonts w:ascii="Times New Roman" w:eastAsia="Arial" w:hAnsi="Times New Roman"/>
                <w:color w:val="000000"/>
                <w:sz w:val="28"/>
                <w:szCs w:val="28"/>
                <w:lang w:val="ru-RU"/>
              </w:rPr>
              <w:t xml:space="preserve">Тур’ї Ремети, Порошково, Тур’я Пасіка </w:t>
            </w:r>
          </w:p>
          <w:p w:rsidR="00227FEF" w:rsidRDefault="00494B9D">
            <w:pPr>
              <w:rPr>
                <w:rFonts w:ascii="Times New Roman" w:eastAsia="Arial" w:hAnsi="Times New Roman"/>
                <w:color w:val="000000"/>
                <w:sz w:val="28"/>
                <w:szCs w:val="28"/>
                <w:lang w:val="ru-RU"/>
              </w:rPr>
            </w:pPr>
            <w:r>
              <w:rPr>
                <w:rFonts w:ascii="Times New Roman" w:eastAsia="Arial" w:hAnsi="Times New Roman"/>
                <w:color w:val="000000"/>
                <w:sz w:val="28"/>
                <w:szCs w:val="28"/>
                <w:lang w:val="ru-RU"/>
              </w:rPr>
              <w:t xml:space="preserve">Тур’я Поляна Тур’я-Бистра </w:t>
            </w:r>
          </w:p>
          <w:p w:rsidR="00227FEF" w:rsidRDefault="00494B9D">
            <w:pPr>
              <w:rPr>
                <w:rFonts w:ascii="Times New Roman" w:eastAsia="Arial" w:hAnsi="Times New Roman"/>
                <w:color w:val="000000"/>
                <w:sz w:val="28"/>
                <w:szCs w:val="28"/>
                <w:lang w:val="ru-RU"/>
              </w:rPr>
            </w:pPr>
            <w:r>
              <w:rPr>
                <w:rFonts w:ascii="Times New Roman" w:eastAsia="Arial" w:hAnsi="Times New Roman"/>
                <w:color w:val="000000"/>
                <w:sz w:val="28"/>
                <w:szCs w:val="28"/>
                <w:lang w:val="ru-RU"/>
              </w:rPr>
              <w:t>Раково</w:t>
            </w:r>
          </w:p>
          <w:p w:rsidR="00227FEF" w:rsidRDefault="00494B9D">
            <w:pPr>
              <w:rPr>
                <w:rFonts w:ascii="Times New Roman" w:eastAsia="Arial" w:hAnsi="Times New Roman"/>
                <w:color w:val="000000"/>
                <w:sz w:val="28"/>
                <w:szCs w:val="28"/>
                <w:lang w:val="ru-RU"/>
              </w:rPr>
            </w:pPr>
            <w:r>
              <w:rPr>
                <w:rFonts w:ascii="Times New Roman" w:eastAsia="Arial" w:hAnsi="Times New Roman"/>
                <w:color w:val="000000"/>
                <w:sz w:val="28"/>
                <w:szCs w:val="28"/>
                <w:lang w:val="ru-RU"/>
              </w:rPr>
              <w:t>Полянська Гута</w:t>
            </w:r>
          </w:p>
          <w:p w:rsidR="00227FEF" w:rsidRDefault="00494B9D">
            <w:pPr>
              <w:rPr>
                <w:rFonts w:ascii="Times New Roman" w:eastAsia="Arial" w:hAnsi="Times New Roman"/>
                <w:color w:val="000000"/>
                <w:sz w:val="28"/>
                <w:szCs w:val="28"/>
                <w:lang w:val="ru-RU"/>
              </w:rPr>
            </w:pPr>
            <w:r>
              <w:rPr>
                <w:rFonts w:ascii="Times New Roman" w:eastAsia="Arial" w:hAnsi="Times New Roman"/>
                <w:color w:val="000000"/>
                <w:sz w:val="28"/>
                <w:szCs w:val="28"/>
                <w:lang w:val="ru-RU"/>
              </w:rPr>
              <w:t>Туриця</w:t>
            </w:r>
          </w:p>
          <w:p w:rsidR="00227FEF" w:rsidRDefault="00494B9D">
            <w:pPr>
              <w:rPr>
                <w:rFonts w:ascii="Times New Roman" w:eastAsia="Arial" w:hAnsi="Times New Roman"/>
                <w:color w:val="000000"/>
                <w:sz w:val="28"/>
                <w:szCs w:val="28"/>
                <w:lang w:val="ru-RU"/>
              </w:rPr>
            </w:pPr>
            <w:r>
              <w:rPr>
                <w:rFonts w:ascii="Times New Roman" w:eastAsia="Arial" w:hAnsi="Times New Roman"/>
                <w:color w:val="000000"/>
                <w:sz w:val="28"/>
                <w:szCs w:val="28"/>
                <w:lang w:val="ru-RU"/>
              </w:rPr>
              <w:t>Вільшинки</w:t>
            </w:r>
          </w:p>
          <w:p w:rsidR="00227FEF" w:rsidRDefault="00227FEF">
            <w:pPr>
              <w:rPr>
                <w:rFonts w:ascii="Times New Roman" w:eastAsia="Arial" w:hAnsi="Times New Roman"/>
                <w:color w:val="000000"/>
                <w:sz w:val="28"/>
                <w:szCs w:val="28"/>
                <w:lang w:val="ru-RU"/>
              </w:rPr>
            </w:pPr>
          </w:p>
        </w:tc>
        <w:tc>
          <w:tcPr>
            <w:tcW w:w="3234"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ЗДО Тур’я Пасіка — пріоритетне завершення</w:t>
            </w:r>
          </w:p>
        </w:tc>
      </w:tr>
      <w:tr w:rsidR="00227FEF">
        <w:tc>
          <w:tcPr>
            <w:tcW w:w="2434"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Школа мистецтв</w:t>
            </w:r>
          </w:p>
        </w:tc>
        <w:tc>
          <w:tcPr>
            <w:tcW w:w="1471"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1</w:t>
            </w:r>
          </w:p>
        </w:tc>
        <w:tc>
          <w:tcPr>
            <w:tcW w:w="2221"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с. Тур’ї Ремети</w:t>
            </w:r>
          </w:p>
        </w:tc>
        <w:tc>
          <w:tcPr>
            <w:tcW w:w="3234"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початкова мистецька освіта</w:t>
            </w:r>
          </w:p>
        </w:tc>
      </w:tr>
      <w:tr w:rsidR="00227FEF">
        <w:tc>
          <w:tcPr>
            <w:tcW w:w="2434"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eastAsia="Arial" w:hAnsi="Times New Roman"/>
                <w:b/>
                <w:bCs/>
                <w:color w:val="000000"/>
                <w:sz w:val="28"/>
                <w:szCs w:val="28"/>
                <w:lang w:val="uk-UA"/>
              </w:rPr>
            </w:pPr>
            <w:r>
              <w:rPr>
                <w:rFonts w:ascii="Times New Roman" w:eastAsia="Arial" w:hAnsi="Times New Roman"/>
                <w:b/>
                <w:bCs/>
                <w:color w:val="000000"/>
                <w:sz w:val="28"/>
                <w:szCs w:val="28"/>
                <w:lang w:val="uk-UA"/>
              </w:rPr>
              <w:t xml:space="preserve">Комунальна установа «Інклюзивно-Ресурсний центр» </w:t>
            </w:r>
          </w:p>
        </w:tc>
        <w:tc>
          <w:tcPr>
            <w:tcW w:w="1471"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eastAsia="Arial" w:hAnsi="Times New Roman"/>
                <w:color w:val="000000"/>
                <w:sz w:val="28"/>
                <w:szCs w:val="28"/>
                <w:lang w:val="ru-RU"/>
              </w:rPr>
            </w:pPr>
            <w:r>
              <w:rPr>
                <w:rFonts w:ascii="Times New Roman" w:eastAsia="Arial" w:hAnsi="Times New Roman"/>
                <w:color w:val="000000"/>
                <w:sz w:val="28"/>
                <w:szCs w:val="28"/>
                <w:lang w:val="ru-RU"/>
              </w:rPr>
              <w:t>1</w:t>
            </w:r>
          </w:p>
        </w:tc>
        <w:tc>
          <w:tcPr>
            <w:tcW w:w="2221"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eastAsia="Arial" w:hAnsi="Times New Roman"/>
                <w:color w:val="000000"/>
                <w:sz w:val="28"/>
                <w:szCs w:val="28"/>
                <w:lang w:val="ru-RU"/>
              </w:rPr>
            </w:pPr>
            <w:r>
              <w:rPr>
                <w:rFonts w:ascii="Times New Roman" w:eastAsia="Arial" w:hAnsi="Times New Roman"/>
                <w:color w:val="000000"/>
                <w:sz w:val="28"/>
                <w:szCs w:val="28"/>
                <w:lang w:val="ru-RU"/>
              </w:rPr>
              <w:t>с.Мокра</w:t>
            </w:r>
          </w:p>
        </w:tc>
        <w:tc>
          <w:tcPr>
            <w:tcW w:w="3234"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eastAsia="Arial" w:hAnsi="Times New Roman"/>
                <w:color w:val="000000"/>
                <w:sz w:val="28"/>
                <w:szCs w:val="28"/>
                <w:lang w:val="ru-RU"/>
              </w:rPr>
            </w:pPr>
            <w:r>
              <w:rPr>
                <w:rFonts w:ascii="Times New Roman" w:eastAsia="Arial" w:hAnsi="Times New Roman"/>
                <w:color w:val="000000"/>
                <w:sz w:val="28"/>
                <w:szCs w:val="28"/>
                <w:lang w:val="ru-RU"/>
              </w:rPr>
              <w:t>Відсутність автобусного сполучення</w:t>
            </w:r>
          </w:p>
        </w:tc>
      </w:tr>
      <w:tr w:rsidR="00227FEF">
        <w:tc>
          <w:tcPr>
            <w:tcW w:w="2434"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ФАПи та амбулаторії ПМД</w:t>
            </w:r>
          </w:p>
        </w:tc>
        <w:tc>
          <w:tcPr>
            <w:tcW w:w="1471"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8</w:t>
            </w:r>
          </w:p>
        </w:tc>
        <w:tc>
          <w:tcPr>
            <w:tcW w:w="2221"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Усі села громади</w:t>
            </w:r>
          </w:p>
        </w:tc>
        <w:tc>
          <w:tcPr>
            <w:tcW w:w="3234"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Нестача медперсоналу; застаріле обладнання</w:t>
            </w:r>
          </w:p>
        </w:tc>
      </w:tr>
      <w:tr w:rsidR="00227FEF">
        <w:tc>
          <w:tcPr>
            <w:tcW w:w="2434"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Сільські клуби / будинки культури</w:t>
            </w:r>
          </w:p>
        </w:tc>
        <w:tc>
          <w:tcPr>
            <w:tcW w:w="1471"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9</w:t>
            </w:r>
          </w:p>
        </w:tc>
        <w:tc>
          <w:tcPr>
            <w:tcW w:w="2221"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uk-UA"/>
              </w:rPr>
            </w:pPr>
            <w:r>
              <w:rPr>
                <w:rFonts w:ascii="Times New Roman" w:eastAsia="Arial" w:hAnsi="Times New Roman"/>
                <w:color w:val="000000"/>
                <w:sz w:val="28"/>
                <w:szCs w:val="28"/>
                <w:lang w:val="uk-UA"/>
              </w:rPr>
              <w:t>Села громади</w:t>
            </w:r>
          </w:p>
        </w:tc>
        <w:tc>
          <w:tcPr>
            <w:tcW w:w="3234"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Потребують капремонту та модернізації</w:t>
            </w:r>
          </w:p>
        </w:tc>
      </w:tr>
      <w:tr w:rsidR="00227FEF">
        <w:tc>
          <w:tcPr>
            <w:tcW w:w="2434"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Бібліотеки</w:t>
            </w:r>
            <w:r>
              <w:rPr>
                <w:rFonts w:ascii="Times New Roman" w:eastAsia="Arial" w:hAnsi="Times New Roman"/>
                <w:b/>
                <w:bCs/>
                <w:color w:val="000000"/>
                <w:sz w:val="28"/>
                <w:szCs w:val="28"/>
                <w:lang w:val="uk-UA"/>
              </w:rPr>
              <w:t xml:space="preserve"> – філії КЗ «Публічна </w:t>
            </w:r>
            <w:r>
              <w:rPr>
                <w:rFonts w:ascii="Times New Roman" w:eastAsia="Arial" w:hAnsi="Times New Roman"/>
                <w:b/>
                <w:bCs/>
                <w:color w:val="000000"/>
                <w:sz w:val="28"/>
                <w:szCs w:val="28"/>
                <w:lang w:val="uk-UA"/>
              </w:rPr>
              <w:lastRenderedPageBreak/>
              <w:t>бібліотека» Тур</w:t>
            </w:r>
            <w:r>
              <w:rPr>
                <w:rFonts w:ascii="Times New Roman" w:eastAsia="Arial" w:hAnsi="Times New Roman"/>
                <w:b/>
                <w:bCs/>
                <w:color w:val="000000"/>
                <w:sz w:val="28"/>
                <w:szCs w:val="28"/>
              </w:rPr>
              <w:t>’</w:t>
            </w:r>
            <w:r>
              <w:rPr>
                <w:rFonts w:ascii="Times New Roman" w:eastAsia="Arial" w:hAnsi="Times New Roman"/>
                <w:b/>
                <w:bCs/>
                <w:color w:val="000000"/>
                <w:sz w:val="28"/>
                <w:szCs w:val="28"/>
                <w:lang w:val="uk-UA"/>
              </w:rPr>
              <w:t>є-Реметівської сільської ради</w:t>
            </w:r>
          </w:p>
        </w:tc>
        <w:tc>
          <w:tcPr>
            <w:tcW w:w="1471"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lastRenderedPageBreak/>
              <w:t>10</w:t>
            </w:r>
          </w:p>
        </w:tc>
        <w:tc>
          <w:tcPr>
            <w:tcW w:w="2221"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Села громади</w:t>
            </w:r>
          </w:p>
        </w:tc>
        <w:tc>
          <w:tcPr>
            <w:tcW w:w="3234"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Низький рівень ком’ютеризації</w:t>
            </w:r>
          </w:p>
        </w:tc>
      </w:tr>
      <w:tr w:rsidR="00227FEF">
        <w:tc>
          <w:tcPr>
            <w:tcW w:w="2434"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lastRenderedPageBreak/>
              <w:t>Спортивні майданчики</w:t>
            </w:r>
          </w:p>
        </w:tc>
        <w:tc>
          <w:tcPr>
            <w:tcW w:w="1471"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12</w:t>
            </w:r>
          </w:p>
        </w:tc>
        <w:tc>
          <w:tcPr>
            <w:tcW w:w="2221"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Тур’ї Ремети, Порошково</w:t>
            </w:r>
          </w:p>
        </w:tc>
        <w:tc>
          <w:tcPr>
            <w:tcW w:w="3234"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відсутні сучасні об’єкти</w:t>
            </w:r>
            <w:r>
              <w:rPr>
                <w:rFonts w:ascii="Times New Roman" w:eastAsia="Arial" w:hAnsi="Times New Roman"/>
                <w:color w:val="000000"/>
                <w:sz w:val="28"/>
                <w:szCs w:val="28"/>
                <w:lang w:val="uk-UA"/>
              </w:rPr>
              <w:t xml:space="preserve"> , в</w:t>
            </w:r>
            <w:r>
              <w:rPr>
                <w:rFonts w:ascii="Times New Roman" w:eastAsia="Arial" w:hAnsi="Times New Roman"/>
                <w:color w:val="000000"/>
                <w:sz w:val="28"/>
                <w:szCs w:val="28"/>
              </w:rPr>
              <w:t xml:space="preserve">ідсутні </w:t>
            </w:r>
            <w:r>
              <w:rPr>
                <w:rFonts w:ascii="Times New Roman" w:eastAsia="Arial" w:hAnsi="Times New Roman"/>
                <w:color w:val="000000"/>
                <w:sz w:val="28"/>
                <w:szCs w:val="28"/>
                <w:lang w:val="uk-UA"/>
              </w:rPr>
              <w:t>дитячі майданчики</w:t>
            </w:r>
          </w:p>
        </w:tc>
      </w:tr>
      <w:tr w:rsidR="00227FEF" w:rsidRPr="00F155F9">
        <w:tc>
          <w:tcPr>
            <w:tcW w:w="2434"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Відділення зв’язку (пошта)</w:t>
            </w:r>
          </w:p>
        </w:tc>
        <w:tc>
          <w:tcPr>
            <w:tcW w:w="1471"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3–4</w:t>
            </w:r>
          </w:p>
        </w:tc>
        <w:tc>
          <w:tcPr>
            <w:tcW w:w="2221"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Великі села</w:t>
            </w:r>
          </w:p>
        </w:tc>
        <w:tc>
          <w:tcPr>
            <w:tcW w:w="3234"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Частина закрита або обмежений режим</w:t>
            </w:r>
          </w:p>
        </w:tc>
      </w:tr>
      <w:tr w:rsidR="00227FEF">
        <w:tc>
          <w:tcPr>
            <w:tcW w:w="2434"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ЦНАП</w:t>
            </w:r>
          </w:p>
        </w:tc>
        <w:tc>
          <w:tcPr>
            <w:tcW w:w="1471"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1</w:t>
            </w:r>
          </w:p>
        </w:tc>
        <w:tc>
          <w:tcPr>
            <w:tcW w:w="2221"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с. Тур’ї Ремети</w:t>
            </w:r>
          </w:p>
        </w:tc>
        <w:tc>
          <w:tcPr>
            <w:tcW w:w="3234"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hAnsi="Times New Roman"/>
                <w:color w:val="000000"/>
                <w:sz w:val="28"/>
                <w:szCs w:val="28"/>
              </w:rPr>
              <w:t>-</w:t>
            </w:r>
          </w:p>
        </w:tc>
      </w:tr>
      <w:tr w:rsidR="00227FEF" w:rsidRPr="00F155F9">
        <w:tc>
          <w:tcPr>
            <w:tcW w:w="2434"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 xml:space="preserve">Пожежне депо </w:t>
            </w:r>
          </w:p>
        </w:tc>
        <w:tc>
          <w:tcPr>
            <w:tcW w:w="1471"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1</w:t>
            </w:r>
          </w:p>
        </w:tc>
        <w:tc>
          <w:tcPr>
            <w:tcW w:w="2221"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Times New Roman" w:hAnsi="Times New Roman"/>
                <w:color w:val="000000"/>
                <w:sz w:val="28"/>
                <w:szCs w:val="28"/>
              </w:rPr>
              <w:t xml:space="preserve"> </w:t>
            </w:r>
            <w:r>
              <w:rPr>
                <w:rFonts w:ascii="Times New Roman" w:eastAsia="Arial" w:hAnsi="Times New Roman"/>
                <w:color w:val="000000"/>
                <w:sz w:val="28"/>
                <w:szCs w:val="28"/>
              </w:rPr>
              <w:t>(добров.)</w:t>
            </w:r>
          </w:p>
          <w:p w:rsidR="00227FEF" w:rsidRDefault="00494B9D">
            <w:pPr>
              <w:rPr>
                <w:rFonts w:ascii="Times New Roman" w:hAnsi="Times New Roman"/>
                <w:color w:val="000000"/>
                <w:sz w:val="28"/>
                <w:szCs w:val="28"/>
                <w:lang w:val="uk-UA"/>
              </w:rPr>
            </w:pPr>
            <w:r>
              <w:rPr>
                <w:rFonts w:ascii="Times New Roman" w:eastAsia="Arial" w:hAnsi="Times New Roman"/>
                <w:color w:val="000000"/>
                <w:sz w:val="28"/>
                <w:szCs w:val="28"/>
              </w:rPr>
              <w:t>c.</w:t>
            </w:r>
            <w:r>
              <w:rPr>
                <w:rFonts w:ascii="Times New Roman" w:eastAsia="Arial" w:hAnsi="Times New Roman"/>
                <w:color w:val="000000"/>
                <w:sz w:val="28"/>
                <w:szCs w:val="28"/>
                <w:lang w:val="uk-UA"/>
              </w:rPr>
              <w:t>Порошково</w:t>
            </w:r>
          </w:p>
        </w:tc>
        <w:tc>
          <w:tcPr>
            <w:tcW w:w="3234"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Обмежене оснащення; залежність від Перечина</w:t>
            </w:r>
          </w:p>
        </w:tc>
      </w:tr>
      <w:tr w:rsidR="00227FEF">
        <w:tc>
          <w:tcPr>
            <w:tcW w:w="2434"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Кладовища</w:t>
            </w:r>
          </w:p>
        </w:tc>
        <w:tc>
          <w:tcPr>
            <w:tcW w:w="1471"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17+</w:t>
            </w:r>
          </w:p>
        </w:tc>
        <w:tc>
          <w:tcPr>
            <w:tcW w:w="2221"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Усі села</w:t>
            </w:r>
          </w:p>
        </w:tc>
        <w:tc>
          <w:tcPr>
            <w:tcW w:w="3234"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Потребують впорядкування та розширення</w:t>
            </w:r>
          </w:p>
        </w:tc>
      </w:tr>
      <w:tr w:rsidR="00227FEF">
        <w:tc>
          <w:tcPr>
            <w:tcW w:w="2434"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Туристичні садиби</w:t>
            </w:r>
          </w:p>
        </w:tc>
        <w:tc>
          <w:tcPr>
            <w:tcW w:w="1471"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15–20</w:t>
            </w:r>
          </w:p>
        </w:tc>
        <w:tc>
          <w:tcPr>
            <w:tcW w:w="2221"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Лумшори та околиці</w:t>
            </w:r>
          </w:p>
        </w:tc>
        <w:tc>
          <w:tcPr>
            <w:tcW w:w="3234"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18+ чанів; до 100 місць розміщення</w:t>
            </w:r>
          </w:p>
        </w:tc>
      </w:tr>
    </w:tbl>
    <w:p w:rsidR="00227FEF" w:rsidRDefault="00494B9D">
      <w:pPr>
        <w:spacing w:before="120" w:after="120" w:line="276" w:lineRule="auto"/>
        <w:ind w:firstLine="708"/>
        <w:outlineLvl w:val="1"/>
        <w:rPr>
          <w:rFonts w:ascii="Times New Roman" w:eastAsia="Arial" w:hAnsi="Times New Roman"/>
          <w:b/>
          <w:bCs/>
          <w:sz w:val="28"/>
          <w:szCs w:val="28"/>
          <w:lang w:val="uk-UA" w:eastAsia="uk-UA"/>
        </w:rPr>
      </w:pPr>
      <w:r>
        <w:rPr>
          <w:rFonts w:ascii="Times New Roman" w:eastAsia="Arial" w:hAnsi="Times New Roman"/>
          <w:b/>
          <w:bCs/>
          <w:sz w:val="28"/>
          <w:szCs w:val="28"/>
          <w:lang w:val="uk-UA" w:eastAsia="uk-UA"/>
        </w:rPr>
        <w:t>6. Протипаводковий захист та екологічна інфраструктура</w:t>
      </w:r>
    </w:p>
    <w:p w:rsidR="00227FEF" w:rsidRDefault="00494B9D">
      <w:pPr>
        <w:spacing w:before="120" w:after="120" w:line="276" w:lineRule="auto"/>
        <w:ind w:firstLine="708"/>
        <w:outlineLvl w:val="2"/>
        <w:rPr>
          <w:rFonts w:ascii="Times New Roman" w:eastAsia="Arial" w:hAnsi="Times New Roman"/>
          <w:b/>
          <w:bCs/>
          <w:sz w:val="28"/>
          <w:szCs w:val="28"/>
          <w:lang w:val="uk-UA" w:eastAsia="uk-UA"/>
        </w:rPr>
      </w:pPr>
      <w:r>
        <w:rPr>
          <w:rFonts w:ascii="Times New Roman" w:eastAsia="Arial" w:hAnsi="Times New Roman"/>
          <w:b/>
          <w:bCs/>
          <w:sz w:val="28"/>
          <w:szCs w:val="28"/>
          <w:lang w:val="uk-UA" w:eastAsia="uk-UA"/>
        </w:rPr>
        <w:t>6.1. Паводкові ризики та існуючі споруди</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Гірська територія громади з інтенсивним поверхневим стоком зазнає значних ризиків від паводків та повеней. Річка Тур’я та її притоки (Туричка, Тур’я-Бистра) періодично виходять з берегів, завдаючи шкоди житловим будинкам, дорогам, мостам та інженерним мережам. Частота паводків на Закарпатті є найвищою в Україні: з 1955 року зафіксовано понад 86 повеней, з яких катастрофічними були у 1998, 2001, 2008, 2010 та 2020 роках. У грудні 2023 року чергова паводкова хвиля пошкодила захисні дамби та берегоукріплення загальною протяжністю 2 490 м у гірській частині Закарпаття.</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На території громади берегоукріплення та протипаводкові споруди наявні лише фрагментарно і потребують розширення та модернізації. Державна протипаводкова програма басейну р. Тиси діяла до 2021 року, але в останні роки практично не фінансувалася. За даними Басейнового управління водних ресурсів р. Тиси, споруди, що перебувають на балансі громад, особливо потребують уваги: нечищені потічки та канали посилюють паводкові ризики.</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 xml:space="preserve">Як зазначають експерти гідрометцентру, нині найзагрозливішими для Закарпаття стали раптові літні локальні паводки, коли маленька річка стрімко </w:t>
      </w:r>
      <w:r>
        <w:rPr>
          <w:rFonts w:ascii="Times New Roman" w:eastAsia="Arial" w:hAnsi="Times New Roman"/>
          <w:sz w:val="28"/>
          <w:szCs w:val="28"/>
          <w:lang w:val="ru-RU"/>
        </w:rPr>
        <w:lastRenderedPageBreak/>
        <w:t>наповнюється водою і буквально зносить усе на своєму шляху. Впровадження систем раннього попередження про паводки на основі метеодатчиків та мобільного оповіщення є критично важливим для безпеки населення.</w:t>
      </w:r>
    </w:p>
    <w:p w:rsidR="00227FEF" w:rsidRDefault="00494B9D">
      <w:pPr>
        <w:spacing w:before="120" w:after="120" w:line="276" w:lineRule="auto"/>
        <w:ind w:firstLine="708"/>
        <w:outlineLvl w:val="2"/>
        <w:rPr>
          <w:rFonts w:ascii="Times New Roman" w:eastAsia="Arial" w:hAnsi="Times New Roman"/>
          <w:b/>
          <w:bCs/>
          <w:sz w:val="28"/>
          <w:szCs w:val="28"/>
          <w:lang w:val="uk-UA" w:eastAsia="uk-UA"/>
        </w:rPr>
      </w:pPr>
      <w:r>
        <w:rPr>
          <w:rFonts w:ascii="Times New Roman" w:eastAsia="Arial" w:hAnsi="Times New Roman"/>
          <w:b/>
          <w:bCs/>
          <w:sz w:val="28"/>
          <w:szCs w:val="28"/>
          <w:lang w:val="uk-UA" w:eastAsia="uk-UA"/>
        </w:rPr>
        <w:t>6.2. Управління відходами</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Система поводження з твердими побутовими відходами (ТПВ) потребує суттєвого вдосконалення. Організований вивіз сміття функціонує переважно у великих населених пунктах; у малих селах проблема стихійних звалищ залишається гострою. Відсутність полігону для захоронення ТПВ на території громади обумовлює транспортування відходів на значні відстані, що підвищує вартість послуги. Роздільний збір відходів практично не впроваджений.</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Необхідні заходи: облаштування контейнерних майданчиків у всіх населених пунктах; ліквідація стихійних звалищ; впровадження системи роздільного збору; укладання договорів з перевізниками для обслуговування малих сіл; еколого-просвітницька робота серед населення. Зі зростанням бюджету від ВЕС громада зможе повноцінно фінансувати систему управління відходами.</w:t>
      </w:r>
    </w:p>
    <w:p w:rsidR="00227FEF" w:rsidRDefault="00494B9D">
      <w:pPr>
        <w:spacing w:before="120" w:after="120" w:line="276" w:lineRule="auto"/>
        <w:ind w:firstLine="708"/>
        <w:outlineLvl w:val="2"/>
        <w:rPr>
          <w:rFonts w:ascii="Times New Roman" w:eastAsia="Arial" w:hAnsi="Times New Roman"/>
          <w:b/>
          <w:bCs/>
          <w:sz w:val="28"/>
          <w:szCs w:val="28"/>
          <w:lang w:val="uk-UA" w:eastAsia="uk-UA"/>
        </w:rPr>
      </w:pPr>
      <w:r>
        <w:rPr>
          <w:rFonts w:ascii="Times New Roman" w:eastAsia="Arial" w:hAnsi="Times New Roman"/>
          <w:b/>
          <w:bCs/>
          <w:sz w:val="28"/>
          <w:szCs w:val="28"/>
          <w:lang w:val="uk-UA" w:eastAsia="uk-UA"/>
        </w:rPr>
        <w:t>6.3. Збереження природного середовища</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Території громади межують із кількома об’єктами природно-заповідного фонду. Полонина Руна (понад 1 100 га гірських полонинних пасовищ), Лумшорський водоспад, мінеральні сірководневі джерела, реліктові букові ліси — це унікальні природні ресурси, що потребують збалансованого підходу між економічним використанням та охороною. Реалізація проєкту ВЕС здійснюється з урахуванням екологічних вимог: за результатами наукових досліджень чутливі території було виключено з площі забудови, а Мінекономіки у лютому 2026 року надало позитивний висновок оцінки впливу на довкілля (ОВД).</w:t>
      </w:r>
    </w:p>
    <w:p w:rsidR="00227FEF" w:rsidRDefault="00494B9D">
      <w:pPr>
        <w:spacing w:before="120" w:after="120" w:line="276" w:lineRule="auto"/>
        <w:ind w:firstLine="708"/>
        <w:outlineLvl w:val="1"/>
        <w:rPr>
          <w:rFonts w:ascii="Times New Roman" w:eastAsia="Arial" w:hAnsi="Times New Roman"/>
          <w:b/>
          <w:bCs/>
          <w:sz w:val="28"/>
          <w:szCs w:val="28"/>
          <w:lang w:val="uk-UA" w:eastAsia="uk-UA"/>
        </w:rPr>
      </w:pPr>
      <w:r>
        <w:rPr>
          <w:rFonts w:ascii="Times New Roman" w:eastAsia="Arial" w:hAnsi="Times New Roman"/>
          <w:b/>
          <w:bCs/>
          <w:sz w:val="28"/>
          <w:szCs w:val="28"/>
          <w:lang w:val="uk-UA" w:eastAsia="uk-UA"/>
        </w:rPr>
        <w:t>7. Туристична інфраструктура</w:t>
      </w:r>
    </w:p>
    <w:p w:rsidR="00227FEF" w:rsidRDefault="00494B9D">
      <w:pPr>
        <w:spacing w:before="120" w:after="120" w:line="276" w:lineRule="auto"/>
        <w:ind w:firstLine="708"/>
        <w:outlineLvl w:val="2"/>
        <w:rPr>
          <w:rFonts w:ascii="Times New Roman" w:eastAsia="Arial" w:hAnsi="Times New Roman"/>
          <w:b/>
          <w:bCs/>
          <w:sz w:val="28"/>
          <w:szCs w:val="28"/>
          <w:lang w:val="uk-UA" w:eastAsia="uk-UA"/>
        </w:rPr>
      </w:pPr>
      <w:r>
        <w:rPr>
          <w:rFonts w:ascii="Times New Roman" w:eastAsia="Arial" w:hAnsi="Times New Roman"/>
          <w:b/>
          <w:bCs/>
          <w:sz w:val="28"/>
          <w:szCs w:val="28"/>
          <w:lang w:val="uk-UA" w:eastAsia="uk-UA"/>
        </w:rPr>
        <w:t>7.1. Бальнеологічний курорт Лумшори</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 xml:space="preserve">Село Лумшори (84 мешканці) є одним з найвідоміших бальнеологічних курортів Закарпаття. Перші згадки про лікувальне купання в місцевих мінеральних водах датуються 1600 роком — це найстаріший курорт регіону. У </w:t>
      </w:r>
      <w:r>
        <w:rPr>
          <w:rFonts w:ascii="Times New Roman" w:eastAsia="Arial" w:hAnsi="Times New Roman"/>
          <w:sz w:val="28"/>
          <w:szCs w:val="28"/>
        </w:rPr>
        <w:t>XVIII</w:t>
      </w:r>
      <w:r>
        <w:rPr>
          <w:rFonts w:ascii="Times New Roman" w:eastAsia="Arial" w:hAnsi="Times New Roman"/>
          <w:sz w:val="28"/>
          <w:szCs w:val="28"/>
          <w:lang w:val="ru-RU"/>
        </w:rPr>
        <w:t xml:space="preserve"> столітті вже існував офіційний «Курорт Лумшори», куди приїздила відпочивати місцева знать. Популярність була настільки великою, що в сусідньому селі Тур’ї Ремети відлили два 250-літрові чавунні чани.</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 xml:space="preserve">Головна атракція — купання в чавунних чанах з мінеральною сірководневою водою, що підігріваються на відкритому вогні. На території сіл Лумшори та Турички </w:t>
      </w:r>
      <w:r>
        <w:rPr>
          <w:rFonts w:ascii="Times New Roman" w:eastAsia="Arial" w:hAnsi="Times New Roman"/>
          <w:sz w:val="28"/>
          <w:szCs w:val="28"/>
          <w:lang w:val="ru-RU"/>
        </w:rPr>
        <w:lastRenderedPageBreak/>
        <w:t>функціонує 18 і більше чанів різної місткості (від 250 до 1000 літрів, на 2–12 осіб). Чани розташовані на території приватних садиб зеленого туризму, які пропонують комплексні послуги: розміщення, оздоровлення, харчування, екскурсії. Ціни на проживання стартують від 200–300 грн/особу, а купання в чані — від 550 грн/годину.</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 xml:space="preserve">Окрім чанів, туристична пропозиція включає: каскад Лумшорських водоспадів (5 основних — Буркач, Переступень, </w:t>
      </w:r>
      <w:proofErr w:type="gramStart"/>
      <w:r>
        <w:rPr>
          <w:rFonts w:ascii="Times New Roman" w:eastAsia="Arial" w:hAnsi="Times New Roman"/>
          <w:sz w:val="28"/>
          <w:szCs w:val="28"/>
          <w:lang w:val="ru-RU"/>
        </w:rPr>
        <w:t>Крутило</w:t>
      </w:r>
      <w:proofErr w:type="gramEnd"/>
      <w:r>
        <w:rPr>
          <w:rFonts w:ascii="Times New Roman" w:eastAsia="Arial" w:hAnsi="Times New Roman"/>
          <w:sz w:val="28"/>
          <w:szCs w:val="28"/>
          <w:lang w:val="ru-RU"/>
        </w:rPr>
        <w:t>, Соловей, Партизан; найвищий — понад 4 м); піші маршрути на Полонину Руну (звідки відкриваються панорамні краєвиди); збір ягід (чорниці/яфини) влітку; апітерапію; рибалку (форель).</w:t>
      </w:r>
    </w:p>
    <w:p w:rsidR="00227FEF" w:rsidRDefault="00494B9D">
      <w:pPr>
        <w:spacing w:before="120" w:after="120" w:line="276" w:lineRule="auto"/>
        <w:ind w:firstLine="708"/>
        <w:jc w:val="both"/>
        <w:rPr>
          <w:rFonts w:ascii="Times New Roman" w:hAnsi="Times New Roman"/>
          <w:sz w:val="28"/>
          <w:szCs w:val="28"/>
        </w:rPr>
      </w:pPr>
      <w:r>
        <w:rPr>
          <w:rFonts w:ascii="Times New Roman" w:eastAsia="Arial" w:hAnsi="Times New Roman"/>
          <w:sz w:val="28"/>
          <w:szCs w:val="28"/>
          <w:lang w:val="ru-RU"/>
        </w:rPr>
        <w:t xml:space="preserve">Незважаючи на значний потенціал, туристична інфраструктура розвивається стихійно, переважно на території кожної садиби окремо. </w:t>
      </w:r>
      <w:r>
        <w:rPr>
          <w:rFonts w:ascii="Times New Roman" w:eastAsia="Arial" w:hAnsi="Times New Roman"/>
          <w:sz w:val="28"/>
          <w:szCs w:val="28"/>
        </w:rPr>
        <w:t>Основні проблеми:</w:t>
      </w:r>
    </w:p>
    <w:p w:rsidR="00227FEF" w:rsidRDefault="00494B9D">
      <w:pPr>
        <w:numPr>
          <w:ilvl w:val="0"/>
          <w:numId w:val="2"/>
        </w:numPr>
        <w:spacing w:before="60" w:after="60" w:line="276" w:lineRule="auto"/>
        <w:jc w:val="both"/>
        <w:rPr>
          <w:rFonts w:ascii="Times New Roman" w:eastAsia="Arial" w:hAnsi="Times New Roman"/>
          <w:sz w:val="28"/>
          <w:szCs w:val="28"/>
          <w:lang w:val="uk-UA" w:eastAsia="uk-UA"/>
        </w:rPr>
      </w:pPr>
      <w:r>
        <w:rPr>
          <w:rFonts w:ascii="Times New Roman" w:eastAsia="Arial" w:hAnsi="Times New Roman"/>
          <w:sz w:val="28"/>
          <w:szCs w:val="28"/>
          <w:lang w:val="uk-UA" w:eastAsia="uk-UA"/>
        </w:rPr>
        <w:t>Незадовільний стан дороги Тур’ї Ремети — Лумшори (11,34 км) — головний бар’єр для збільшення туристичного потоку.</w:t>
      </w:r>
    </w:p>
    <w:p w:rsidR="00227FEF" w:rsidRDefault="00494B9D">
      <w:pPr>
        <w:numPr>
          <w:ilvl w:val="0"/>
          <w:numId w:val="2"/>
        </w:numPr>
        <w:spacing w:before="60" w:after="60" w:line="276" w:lineRule="auto"/>
        <w:jc w:val="both"/>
        <w:rPr>
          <w:rFonts w:ascii="Times New Roman" w:eastAsia="Arial" w:hAnsi="Times New Roman"/>
          <w:sz w:val="28"/>
          <w:szCs w:val="28"/>
          <w:lang w:val="uk-UA" w:eastAsia="uk-UA"/>
        </w:rPr>
      </w:pPr>
      <w:r>
        <w:rPr>
          <w:rFonts w:ascii="Times New Roman" w:eastAsia="Arial" w:hAnsi="Times New Roman"/>
          <w:sz w:val="28"/>
          <w:szCs w:val="28"/>
          <w:lang w:val="uk-UA" w:eastAsia="uk-UA"/>
        </w:rPr>
        <w:t>Відсутність туристично-інформаційного центру, єдиної системи навігації та маркування маршрутів.</w:t>
      </w:r>
    </w:p>
    <w:p w:rsidR="00227FEF" w:rsidRDefault="00494B9D">
      <w:pPr>
        <w:numPr>
          <w:ilvl w:val="0"/>
          <w:numId w:val="2"/>
        </w:numPr>
        <w:spacing w:before="60" w:after="60" w:line="276" w:lineRule="auto"/>
        <w:jc w:val="both"/>
        <w:rPr>
          <w:rFonts w:ascii="Times New Roman" w:eastAsia="Arial" w:hAnsi="Times New Roman"/>
          <w:sz w:val="28"/>
          <w:szCs w:val="28"/>
          <w:lang w:val="uk-UA" w:eastAsia="uk-UA"/>
        </w:rPr>
      </w:pPr>
      <w:r>
        <w:rPr>
          <w:rFonts w:ascii="Times New Roman" w:eastAsia="Arial" w:hAnsi="Times New Roman"/>
          <w:sz w:val="28"/>
          <w:szCs w:val="28"/>
          <w:lang w:val="uk-UA" w:eastAsia="uk-UA"/>
        </w:rPr>
        <w:t>Обмежений мобільний зв’язок та Інтернет — неможливість онлайн-бронювання, навігації, відгуків.</w:t>
      </w:r>
    </w:p>
    <w:p w:rsidR="00227FEF" w:rsidRDefault="00494B9D">
      <w:pPr>
        <w:numPr>
          <w:ilvl w:val="0"/>
          <w:numId w:val="2"/>
        </w:numPr>
        <w:spacing w:before="60" w:after="60" w:line="276" w:lineRule="auto"/>
        <w:jc w:val="both"/>
        <w:rPr>
          <w:rFonts w:ascii="Times New Roman" w:eastAsia="Arial" w:hAnsi="Times New Roman"/>
          <w:sz w:val="28"/>
          <w:szCs w:val="28"/>
          <w:lang w:val="uk-UA" w:eastAsia="uk-UA"/>
        </w:rPr>
      </w:pPr>
      <w:r>
        <w:rPr>
          <w:rFonts w:ascii="Times New Roman" w:eastAsia="Arial" w:hAnsi="Times New Roman"/>
          <w:sz w:val="28"/>
          <w:szCs w:val="28"/>
          <w:lang w:val="uk-UA" w:eastAsia="uk-UA"/>
        </w:rPr>
        <w:t>Відсутність санітарних зон, громадських туалетів, організованих паркувань.</w:t>
      </w:r>
    </w:p>
    <w:p w:rsidR="00227FEF" w:rsidRDefault="00494B9D">
      <w:pPr>
        <w:numPr>
          <w:ilvl w:val="0"/>
          <w:numId w:val="2"/>
        </w:numPr>
        <w:spacing w:before="60" w:after="60" w:line="276" w:lineRule="auto"/>
        <w:jc w:val="both"/>
        <w:rPr>
          <w:rFonts w:ascii="Times New Roman" w:eastAsia="Arial" w:hAnsi="Times New Roman"/>
          <w:sz w:val="28"/>
          <w:szCs w:val="28"/>
          <w:lang w:val="uk-UA" w:eastAsia="uk-UA"/>
        </w:rPr>
      </w:pPr>
      <w:r>
        <w:rPr>
          <w:rFonts w:ascii="Times New Roman" w:eastAsia="Arial" w:hAnsi="Times New Roman"/>
          <w:sz w:val="28"/>
          <w:szCs w:val="28"/>
          <w:lang w:val="uk-UA" w:eastAsia="uk-UA"/>
        </w:rPr>
        <w:t>Нерегулярність транспортного сполучення (маршрутне таксі Ужгород—Лумшори — лише 2 рейси/день).</w:t>
      </w:r>
    </w:p>
    <w:p w:rsidR="00227FEF" w:rsidRDefault="00494B9D">
      <w:pPr>
        <w:numPr>
          <w:ilvl w:val="0"/>
          <w:numId w:val="2"/>
        </w:numPr>
        <w:spacing w:before="60" w:after="60" w:line="276" w:lineRule="auto"/>
        <w:jc w:val="both"/>
        <w:rPr>
          <w:rFonts w:ascii="Times New Roman" w:eastAsia="Arial" w:hAnsi="Times New Roman"/>
          <w:sz w:val="28"/>
          <w:szCs w:val="28"/>
          <w:lang w:val="uk-UA" w:eastAsia="uk-UA"/>
        </w:rPr>
      </w:pPr>
      <w:r>
        <w:rPr>
          <w:rFonts w:ascii="Times New Roman" w:eastAsia="Arial" w:hAnsi="Times New Roman"/>
          <w:sz w:val="28"/>
          <w:szCs w:val="28"/>
          <w:lang w:val="uk-UA" w:eastAsia="uk-UA"/>
        </w:rPr>
        <w:t>Відсутність стандартизації та сертифікації послуг гостинності.</w:t>
      </w:r>
    </w:p>
    <w:p w:rsidR="00227FEF" w:rsidRDefault="00494B9D">
      <w:pPr>
        <w:spacing w:before="240" w:after="120"/>
        <w:jc w:val="center"/>
        <w:rPr>
          <w:rFonts w:ascii="Times New Roman" w:hAnsi="Times New Roman"/>
          <w:sz w:val="28"/>
          <w:szCs w:val="28"/>
        </w:rPr>
      </w:pPr>
      <w:r>
        <w:rPr>
          <w:rFonts w:ascii="Times New Roman" w:eastAsia="Arial" w:hAnsi="Times New Roman"/>
          <w:b/>
          <w:bCs/>
          <w:sz w:val="28"/>
          <w:szCs w:val="28"/>
        </w:rPr>
        <w:t>Таблиця 8.</w:t>
      </w:r>
      <w:r>
        <w:rPr>
          <w:rFonts w:ascii="Times New Roman" w:eastAsia="Arial" w:hAnsi="Times New Roman"/>
          <w:sz w:val="28"/>
          <w:szCs w:val="28"/>
        </w:rPr>
        <w:t xml:space="preserve"> Туристична інфраструктура курорту Лумшори</w:t>
      </w:r>
    </w:p>
    <w:tbl>
      <w:tblPr>
        <w:tblW w:w="9360" w:type="dxa"/>
        <w:tblLayout w:type="fixed"/>
        <w:tblCellMar>
          <w:top w:w="60" w:type="dxa"/>
          <w:left w:w="100" w:type="dxa"/>
          <w:bottom w:w="60" w:type="dxa"/>
          <w:right w:w="100" w:type="dxa"/>
        </w:tblCellMar>
        <w:tblLook w:val="0000" w:firstRow="0" w:lastRow="0" w:firstColumn="0" w:lastColumn="0" w:noHBand="0" w:noVBand="0"/>
      </w:tblPr>
      <w:tblGrid>
        <w:gridCol w:w="3000"/>
        <w:gridCol w:w="2000"/>
        <w:gridCol w:w="4360"/>
      </w:tblGrid>
      <w:tr w:rsidR="00227FEF">
        <w:tc>
          <w:tcPr>
            <w:tcW w:w="30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t>Об’єкт / ресурс</w:t>
            </w:r>
          </w:p>
        </w:tc>
        <w:tc>
          <w:tcPr>
            <w:tcW w:w="20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t>Параметр</w:t>
            </w:r>
          </w:p>
        </w:tc>
        <w:tc>
          <w:tcPr>
            <w:tcW w:w="43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t>Характеристика</w:t>
            </w:r>
          </w:p>
        </w:tc>
      </w:tr>
      <w:tr w:rsidR="00227FEF" w:rsidRPr="00F155F9">
        <w:tc>
          <w:tcPr>
            <w:tcW w:w="30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Сірководневі мінеральні джерела</w:t>
            </w:r>
          </w:p>
        </w:tc>
        <w:tc>
          <w:tcPr>
            <w:tcW w:w="20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Діють з 1600 р.</w:t>
            </w:r>
          </w:p>
        </w:tc>
        <w:tc>
          <w:tcPr>
            <w:tcW w:w="436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Унікальні бальнеологічні властивості; лікування ОРА, нервової системи, шкіри</w:t>
            </w:r>
          </w:p>
        </w:tc>
      </w:tr>
      <w:tr w:rsidR="00227FEF" w:rsidRPr="00F155F9">
        <w:tc>
          <w:tcPr>
            <w:tcW w:w="30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Чавунні чани для купання</w:t>
            </w:r>
          </w:p>
        </w:tc>
        <w:tc>
          <w:tcPr>
            <w:tcW w:w="20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18+ чанів</w:t>
            </w:r>
          </w:p>
        </w:tc>
        <w:tc>
          <w:tcPr>
            <w:tcW w:w="436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На території приватних садиб; ємність 250–1000 л; ціна 550–1000 грн/год</w:t>
            </w:r>
          </w:p>
        </w:tc>
      </w:tr>
      <w:tr w:rsidR="00227FEF">
        <w:tc>
          <w:tcPr>
            <w:tcW w:w="30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Засоби розміщення (садиби, котеджі)</w:t>
            </w:r>
          </w:p>
        </w:tc>
        <w:tc>
          <w:tcPr>
            <w:tcW w:w="20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15–20 об’єктів</w:t>
            </w:r>
          </w:p>
        </w:tc>
        <w:tc>
          <w:tcPr>
            <w:tcW w:w="436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Від 200 грн/осіб; загальна місткість ~100–150 місць</w:t>
            </w:r>
          </w:p>
        </w:tc>
      </w:tr>
      <w:tr w:rsidR="00227FEF" w:rsidRPr="00F155F9">
        <w:tc>
          <w:tcPr>
            <w:tcW w:w="30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Водоспади (каскад)</w:t>
            </w:r>
          </w:p>
        </w:tc>
        <w:tc>
          <w:tcPr>
            <w:tcW w:w="20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5 основних</w:t>
            </w:r>
          </w:p>
        </w:tc>
        <w:tc>
          <w:tcPr>
            <w:tcW w:w="436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Буркач, Переступень, Крутило, Соловей, Партизан; висота до 4+ м</w:t>
            </w:r>
          </w:p>
        </w:tc>
      </w:tr>
      <w:tr w:rsidR="00227FEF" w:rsidRPr="00F155F9">
        <w:tc>
          <w:tcPr>
            <w:tcW w:w="30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lastRenderedPageBreak/>
              <w:t>Полонина Руна (гірський маршрут)</w:t>
            </w:r>
          </w:p>
        </w:tc>
        <w:tc>
          <w:tcPr>
            <w:tcW w:w="20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1100+ га</w:t>
            </w:r>
          </w:p>
        </w:tc>
        <w:tc>
          <w:tcPr>
            <w:tcW w:w="436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Популярний піший маршрут; збір яфин; залишки радянської радіостанції</w:t>
            </w:r>
          </w:p>
        </w:tc>
      </w:tr>
      <w:tr w:rsidR="00227FEF" w:rsidRPr="00F155F9">
        <w:tc>
          <w:tcPr>
            <w:tcW w:w="30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Колиби / заклади харчування</w:t>
            </w:r>
          </w:p>
        </w:tc>
        <w:tc>
          <w:tcPr>
            <w:tcW w:w="20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3—5</w:t>
            </w:r>
          </w:p>
        </w:tc>
        <w:tc>
          <w:tcPr>
            <w:tcW w:w="436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Закарпатська кухня; форель з місцевих ставків</w:t>
            </w:r>
          </w:p>
        </w:tc>
      </w:tr>
      <w:tr w:rsidR="00227FEF">
        <w:tc>
          <w:tcPr>
            <w:tcW w:w="30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Апітерапія</w:t>
            </w:r>
          </w:p>
        </w:tc>
        <w:tc>
          <w:tcPr>
            <w:tcW w:w="20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Кілька садиб</w:t>
            </w:r>
          </w:p>
        </w:tc>
        <w:tc>
          <w:tcPr>
            <w:tcW w:w="436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Лікування бджолами — додатковий сервіс</w:t>
            </w:r>
          </w:p>
        </w:tc>
      </w:tr>
      <w:tr w:rsidR="00227FEF" w:rsidRPr="00F155F9">
        <w:tc>
          <w:tcPr>
            <w:tcW w:w="30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Транспортна доступність</w:t>
            </w:r>
          </w:p>
        </w:tc>
        <w:tc>
          <w:tcPr>
            <w:tcW w:w="200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17 км від траси</w:t>
            </w:r>
          </w:p>
        </w:tc>
        <w:tc>
          <w:tcPr>
            <w:tcW w:w="436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Дорога О 070802 — незадовільний стан; 2 рейси маршрутки/день</w:t>
            </w:r>
          </w:p>
        </w:tc>
      </w:tr>
    </w:tbl>
    <w:p w:rsidR="00227FEF" w:rsidRDefault="00494B9D">
      <w:pPr>
        <w:spacing w:before="120" w:after="120" w:line="276" w:lineRule="auto"/>
        <w:ind w:firstLine="708"/>
        <w:outlineLvl w:val="2"/>
        <w:rPr>
          <w:rFonts w:ascii="Times New Roman" w:eastAsia="Arial" w:hAnsi="Times New Roman"/>
          <w:b/>
          <w:bCs/>
          <w:sz w:val="28"/>
          <w:szCs w:val="28"/>
          <w:lang w:val="uk-UA" w:eastAsia="uk-UA"/>
        </w:rPr>
      </w:pPr>
      <w:r>
        <w:rPr>
          <w:rFonts w:ascii="Times New Roman" w:eastAsia="Arial" w:hAnsi="Times New Roman"/>
          <w:b/>
          <w:bCs/>
          <w:sz w:val="28"/>
          <w:szCs w:val="28"/>
          <w:lang w:val="uk-UA" w:eastAsia="uk-UA"/>
        </w:rPr>
        <w:t>7.2. Інші туристичні ресурси та маршрути</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Окрім Лумшорів, громада має значний туристичний потенціал, який залишається практично нерозкритим:</w:t>
      </w:r>
    </w:p>
    <w:p w:rsidR="00227FEF" w:rsidRDefault="00494B9D">
      <w:pPr>
        <w:numPr>
          <w:ilvl w:val="0"/>
          <w:numId w:val="2"/>
        </w:numPr>
        <w:spacing w:before="60" w:after="60" w:line="276" w:lineRule="auto"/>
        <w:jc w:val="both"/>
        <w:rPr>
          <w:rFonts w:ascii="Times New Roman" w:eastAsia="Arial" w:hAnsi="Times New Roman"/>
          <w:sz w:val="28"/>
          <w:szCs w:val="28"/>
          <w:lang w:val="uk-UA" w:eastAsia="uk-UA"/>
        </w:rPr>
      </w:pPr>
      <w:r>
        <w:rPr>
          <w:rFonts w:ascii="Times New Roman" w:eastAsia="Arial" w:hAnsi="Times New Roman"/>
          <w:b/>
          <w:bCs/>
          <w:sz w:val="28"/>
          <w:szCs w:val="28"/>
          <w:lang w:val="uk-UA" w:eastAsia="uk-UA"/>
        </w:rPr>
        <w:t xml:space="preserve">Полонина Руна </w:t>
      </w:r>
      <w:r>
        <w:rPr>
          <w:rFonts w:ascii="Times New Roman" w:eastAsia="Arial" w:hAnsi="Times New Roman"/>
          <w:sz w:val="28"/>
          <w:szCs w:val="28"/>
          <w:lang w:val="uk-UA" w:eastAsia="uk-UA"/>
        </w:rPr>
        <w:t>— гірське пасовище площею понад 1 100 га на висоті 1 300–1 479 м; популярний піший маршрут; влітку — масовий збір чорниць («yafyny»), що є важливим джерелом сезонного доходу мешканців; залишки радянської радіостанції — цікавий об’єкт індустріального туризму.</w:t>
      </w:r>
    </w:p>
    <w:p w:rsidR="00227FEF" w:rsidRDefault="00494B9D">
      <w:pPr>
        <w:numPr>
          <w:ilvl w:val="0"/>
          <w:numId w:val="2"/>
        </w:numPr>
        <w:spacing w:before="60" w:after="60" w:line="276" w:lineRule="auto"/>
        <w:jc w:val="both"/>
        <w:rPr>
          <w:rFonts w:ascii="Times New Roman" w:eastAsia="Arial" w:hAnsi="Times New Roman"/>
          <w:sz w:val="28"/>
          <w:szCs w:val="28"/>
          <w:lang w:val="uk-UA" w:eastAsia="uk-UA"/>
        </w:rPr>
      </w:pPr>
      <w:r>
        <w:rPr>
          <w:rFonts w:ascii="Times New Roman" w:eastAsia="Arial" w:hAnsi="Times New Roman"/>
          <w:b/>
          <w:bCs/>
          <w:sz w:val="28"/>
          <w:szCs w:val="28"/>
          <w:lang w:val="uk-UA" w:eastAsia="uk-UA"/>
        </w:rPr>
        <w:t xml:space="preserve">Маршрут «Шляхами Турянської Долини» </w:t>
      </w:r>
      <w:r>
        <w:rPr>
          <w:rFonts w:ascii="Times New Roman" w:eastAsia="Arial" w:hAnsi="Times New Roman"/>
          <w:sz w:val="28"/>
          <w:szCs w:val="28"/>
          <w:lang w:val="uk-UA" w:eastAsia="uk-UA"/>
        </w:rPr>
        <w:t>— історико-промисловий маршрут, що розкриває багату промислову спадщину долини (лісосплав, деревообробка, старі виробництва).</w:t>
      </w:r>
    </w:p>
    <w:p w:rsidR="00227FEF" w:rsidRDefault="00494B9D">
      <w:pPr>
        <w:numPr>
          <w:ilvl w:val="0"/>
          <w:numId w:val="2"/>
        </w:numPr>
        <w:spacing w:before="60" w:after="60" w:line="276" w:lineRule="auto"/>
        <w:jc w:val="both"/>
        <w:rPr>
          <w:rFonts w:ascii="Times New Roman" w:eastAsia="Arial" w:hAnsi="Times New Roman"/>
          <w:sz w:val="28"/>
          <w:szCs w:val="28"/>
          <w:lang w:val="uk-UA" w:eastAsia="uk-UA"/>
        </w:rPr>
      </w:pPr>
      <w:r>
        <w:rPr>
          <w:rFonts w:ascii="Times New Roman" w:eastAsia="Arial" w:hAnsi="Times New Roman"/>
          <w:b/>
          <w:bCs/>
          <w:sz w:val="28"/>
          <w:szCs w:val="28"/>
          <w:lang w:val="uk-UA" w:eastAsia="uk-UA"/>
        </w:rPr>
        <w:t xml:space="preserve">Етнографічна спадщина </w:t>
      </w:r>
      <w:r>
        <w:rPr>
          <w:rFonts w:ascii="Times New Roman" w:eastAsia="Arial" w:hAnsi="Times New Roman"/>
          <w:sz w:val="28"/>
          <w:szCs w:val="28"/>
          <w:lang w:val="uk-UA" w:eastAsia="uk-UA"/>
        </w:rPr>
        <w:t>— традиційна архітектура гуцульського типу; церкви; обряди; місцева кухня; виготовлення чанів за старовинною технологією.</w:t>
      </w:r>
    </w:p>
    <w:p w:rsidR="00227FEF" w:rsidRDefault="00494B9D">
      <w:pPr>
        <w:numPr>
          <w:ilvl w:val="0"/>
          <w:numId w:val="2"/>
        </w:numPr>
        <w:spacing w:before="60" w:after="60" w:line="276" w:lineRule="auto"/>
        <w:jc w:val="both"/>
        <w:rPr>
          <w:rFonts w:ascii="Times New Roman" w:eastAsia="Arial" w:hAnsi="Times New Roman"/>
          <w:sz w:val="28"/>
          <w:szCs w:val="28"/>
          <w:lang w:val="uk-UA" w:eastAsia="uk-UA"/>
        </w:rPr>
      </w:pPr>
      <w:r>
        <w:rPr>
          <w:rFonts w:ascii="Times New Roman" w:eastAsia="Arial" w:hAnsi="Times New Roman"/>
          <w:b/>
          <w:bCs/>
          <w:sz w:val="28"/>
          <w:szCs w:val="28"/>
          <w:lang w:val="uk-UA" w:eastAsia="uk-UA"/>
        </w:rPr>
        <w:t xml:space="preserve">Вітрова електростанція </w:t>
      </w:r>
      <w:r>
        <w:rPr>
          <w:rFonts w:ascii="Times New Roman" w:eastAsia="Arial" w:hAnsi="Times New Roman"/>
          <w:sz w:val="28"/>
          <w:szCs w:val="28"/>
          <w:lang w:val="uk-UA" w:eastAsia="uk-UA"/>
        </w:rPr>
        <w:t>— після введення в експлуатацію ВЕС «Полонина Руна» може стати додатковою туристичною атракцією (досвід ЄС); оглядові майданчики, екскурсії, еко-центр.</w:t>
      </w:r>
    </w:p>
    <w:p w:rsidR="00227FEF" w:rsidRDefault="00494B9D">
      <w:pPr>
        <w:numPr>
          <w:ilvl w:val="0"/>
          <w:numId w:val="2"/>
        </w:numPr>
        <w:spacing w:before="60" w:after="60" w:line="276" w:lineRule="auto"/>
        <w:jc w:val="both"/>
        <w:rPr>
          <w:rFonts w:ascii="Times New Roman" w:eastAsia="Arial" w:hAnsi="Times New Roman"/>
          <w:sz w:val="28"/>
          <w:szCs w:val="28"/>
          <w:lang w:val="uk-UA" w:eastAsia="uk-UA"/>
        </w:rPr>
      </w:pPr>
      <w:r>
        <w:rPr>
          <w:rFonts w:ascii="Times New Roman" w:eastAsia="Arial" w:hAnsi="Times New Roman"/>
          <w:b/>
          <w:bCs/>
          <w:sz w:val="28"/>
          <w:szCs w:val="28"/>
          <w:lang w:val="uk-UA" w:eastAsia="uk-UA"/>
        </w:rPr>
        <w:t xml:space="preserve">Природні ландшафти </w:t>
      </w:r>
      <w:r>
        <w:rPr>
          <w:rFonts w:ascii="Times New Roman" w:eastAsia="Arial" w:hAnsi="Times New Roman"/>
          <w:sz w:val="28"/>
          <w:szCs w:val="28"/>
          <w:lang w:val="uk-UA" w:eastAsia="uk-UA"/>
        </w:rPr>
        <w:t>— букові праліси, гірські потоки, мальовничі долини — ідеальне середовище для еко-туризму, фото-турів, велотуризму та трейлранінгу.</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Для реалізації туристичного потенціалу необхідні капітальні інвестиції в дорожню, комунальну та цифрову інфраструктуру, а також створення туристично-інформаційного центру в с. Тур’ї Ремети.</w:t>
      </w:r>
    </w:p>
    <w:p w:rsidR="00227FEF" w:rsidRDefault="00494B9D">
      <w:pPr>
        <w:spacing w:before="120" w:after="120" w:line="276" w:lineRule="auto"/>
        <w:ind w:firstLine="708"/>
        <w:outlineLvl w:val="1"/>
        <w:rPr>
          <w:rFonts w:ascii="Times New Roman" w:eastAsia="Arial" w:hAnsi="Times New Roman"/>
          <w:b/>
          <w:bCs/>
          <w:sz w:val="28"/>
          <w:szCs w:val="28"/>
          <w:lang w:val="uk-UA" w:eastAsia="uk-UA"/>
        </w:rPr>
      </w:pPr>
      <w:r>
        <w:rPr>
          <w:rFonts w:ascii="Times New Roman" w:eastAsia="Arial" w:hAnsi="Times New Roman"/>
          <w:b/>
          <w:bCs/>
          <w:sz w:val="28"/>
          <w:szCs w:val="28"/>
          <w:lang w:val="uk-UA" w:eastAsia="uk-UA"/>
        </w:rPr>
        <w:t>8. SWOT-аналіз інфраструктури громади</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lastRenderedPageBreak/>
        <w:t xml:space="preserve">На основі комплексного аналізу стану всіх видів інфраструктури Тур’є-Реметівської громади складено </w:t>
      </w:r>
      <w:r>
        <w:rPr>
          <w:rFonts w:ascii="Times New Roman" w:eastAsia="Arial" w:hAnsi="Times New Roman"/>
          <w:sz w:val="28"/>
          <w:szCs w:val="28"/>
        </w:rPr>
        <w:t>SWOT</w:t>
      </w:r>
      <w:r>
        <w:rPr>
          <w:rFonts w:ascii="Times New Roman" w:eastAsia="Arial" w:hAnsi="Times New Roman"/>
          <w:sz w:val="28"/>
          <w:szCs w:val="28"/>
          <w:lang w:val="ru-RU"/>
        </w:rPr>
        <w:t>-матрицю, що визначає внутрішні сильні та слабкі сторони, а також зовнішні можливості та загрози для інфраструктурного розвитку.</w:t>
      </w:r>
    </w:p>
    <w:p w:rsidR="00227FEF" w:rsidRDefault="00494B9D">
      <w:pPr>
        <w:spacing w:before="240" w:after="120"/>
        <w:jc w:val="center"/>
        <w:rPr>
          <w:rFonts w:ascii="Times New Roman" w:hAnsi="Times New Roman"/>
          <w:sz w:val="28"/>
          <w:szCs w:val="28"/>
        </w:rPr>
      </w:pPr>
      <w:r>
        <w:rPr>
          <w:rFonts w:ascii="Times New Roman" w:eastAsia="Arial" w:hAnsi="Times New Roman"/>
          <w:b/>
          <w:bCs/>
          <w:sz w:val="28"/>
          <w:szCs w:val="28"/>
        </w:rPr>
        <w:t>Таблиця 9.</w:t>
      </w:r>
      <w:r>
        <w:rPr>
          <w:rFonts w:ascii="Times New Roman" w:eastAsia="Arial" w:hAnsi="Times New Roman"/>
          <w:sz w:val="28"/>
          <w:szCs w:val="28"/>
        </w:rPr>
        <w:t xml:space="preserve"> SWOT-аналіз інфраструктури громади</w:t>
      </w:r>
    </w:p>
    <w:tbl>
      <w:tblPr>
        <w:tblW w:w="9360" w:type="dxa"/>
        <w:tblLayout w:type="fixed"/>
        <w:tblCellMar>
          <w:top w:w="60" w:type="dxa"/>
          <w:left w:w="100" w:type="dxa"/>
          <w:bottom w:w="60" w:type="dxa"/>
          <w:right w:w="100" w:type="dxa"/>
        </w:tblCellMar>
        <w:tblLook w:val="0000" w:firstRow="0" w:lastRow="0" w:firstColumn="0" w:lastColumn="0" w:noHBand="0" w:noVBand="0"/>
      </w:tblPr>
      <w:tblGrid>
        <w:gridCol w:w="4680"/>
        <w:gridCol w:w="4680"/>
      </w:tblGrid>
      <w:tr w:rsidR="00227FEF">
        <w:tc>
          <w:tcPr>
            <w:tcW w:w="46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t>СИЛЬНІ СТОРОНИ (S)</w:t>
            </w:r>
          </w:p>
        </w:tc>
        <w:tc>
          <w:tcPr>
            <w:tcW w:w="46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t>СЛАБКІ СТОРОНИ (W)</w:t>
            </w:r>
          </w:p>
        </w:tc>
      </w:tr>
      <w:tr w:rsidR="00227FEF">
        <w:tc>
          <w:tcPr>
            <w:tcW w:w="46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numPr>
                <w:ilvl w:val="0"/>
                <w:numId w:val="23"/>
              </w:numPr>
              <w:spacing w:before="30" w:after="30"/>
              <w:rPr>
                <w:rFonts w:ascii="Times New Roman" w:eastAsia="Arial" w:hAnsi="Times New Roman"/>
                <w:color w:val="000000"/>
                <w:sz w:val="28"/>
                <w:szCs w:val="28"/>
                <w:lang w:val="uk-UA" w:eastAsia="uk-UA"/>
              </w:rPr>
            </w:pPr>
            <w:r>
              <w:rPr>
                <w:rFonts w:ascii="Times New Roman" w:eastAsia="Arial" w:hAnsi="Times New Roman"/>
                <w:color w:val="000000"/>
                <w:sz w:val="28"/>
                <w:szCs w:val="28"/>
                <w:lang w:val="uk-UA" w:eastAsia="uk-UA"/>
              </w:rPr>
              <w:t>Наявність 8 закладів ПМД у всіх селах</w:t>
            </w:r>
          </w:p>
          <w:p w:rsidR="00227FEF" w:rsidRDefault="00494B9D">
            <w:pPr>
              <w:numPr>
                <w:ilvl w:val="0"/>
                <w:numId w:val="11"/>
              </w:numPr>
              <w:spacing w:before="30" w:after="30"/>
              <w:rPr>
                <w:rFonts w:ascii="Times New Roman" w:eastAsia="Arial" w:hAnsi="Times New Roman"/>
                <w:color w:val="000000"/>
                <w:sz w:val="28"/>
                <w:szCs w:val="28"/>
                <w:lang w:val="uk-UA" w:eastAsia="uk-UA"/>
              </w:rPr>
            </w:pPr>
            <w:r>
              <w:rPr>
                <w:rFonts w:ascii="Times New Roman" w:eastAsia="Arial" w:hAnsi="Times New Roman"/>
                <w:color w:val="000000"/>
                <w:sz w:val="28"/>
                <w:szCs w:val="28"/>
                <w:lang w:val="uk-UA" w:eastAsia="uk-UA"/>
              </w:rPr>
              <w:t>100 % електрифікація населених пунктів</w:t>
            </w:r>
          </w:p>
          <w:p w:rsidR="00227FEF" w:rsidRDefault="00227FEF">
            <w:pPr>
              <w:spacing w:before="30" w:after="30"/>
              <w:ind w:left="140"/>
              <w:rPr>
                <w:rFonts w:ascii="Times New Roman" w:eastAsia="Arial" w:hAnsi="Times New Roman"/>
                <w:color w:val="000000"/>
                <w:sz w:val="28"/>
                <w:szCs w:val="28"/>
                <w:lang w:val="uk-UA" w:eastAsia="uk-UA"/>
              </w:rPr>
            </w:pPr>
          </w:p>
          <w:p w:rsidR="00227FEF" w:rsidRDefault="00494B9D">
            <w:pPr>
              <w:numPr>
                <w:ilvl w:val="0"/>
                <w:numId w:val="11"/>
              </w:numPr>
              <w:spacing w:before="30" w:after="30"/>
              <w:rPr>
                <w:rFonts w:ascii="Times New Roman" w:eastAsia="Arial" w:hAnsi="Times New Roman"/>
                <w:color w:val="000000"/>
                <w:sz w:val="28"/>
                <w:szCs w:val="28"/>
                <w:lang w:val="uk-UA" w:eastAsia="uk-UA"/>
              </w:rPr>
            </w:pPr>
            <w:r>
              <w:rPr>
                <w:rFonts w:ascii="Times New Roman" w:eastAsia="Arial" w:hAnsi="Times New Roman"/>
                <w:color w:val="000000"/>
                <w:sz w:val="28"/>
                <w:szCs w:val="28"/>
                <w:lang w:val="uk-UA" w:eastAsia="uk-UA"/>
              </w:rPr>
              <w:t>Розвинена мережа шкіл та дошкільних закладів</w:t>
            </w:r>
          </w:p>
          <w:p w:rsidR="00227FEF" w:rsidRDefault="00494B9D">
            <w:pPr>
              <w:numPr>
                <w:ilvl w:val="0"/>
                <w:numId w:val="11"/>
              </w:numPr>
              <w:spacing w:before="30" w:after="30"/>
              <w:rPr>
                <w:rFonts w:ascii="Times New Roman" w:eastAsia="Arial" w:hAnsi="Times New Roman"/>
                <w:color w:val="000000"/>
                <w:sz w:val="28"/>
                <w:szCs w:val="28"/>
                <w:lang w:val="uk-UA" w:eastAsia="uk-UA"/>
              </w:rPr>
            </w:pPr>
            <w:r>
              <w:rPr>
                <w:rFonts w:ascii="Times New Roman" w:eastAsia="Arial" w:hAnsi="Times New Roman"/>
                <w:color w:val="000000"/>
                <w:sz w:val="28"/>
                <w:szCs w:val="28"/>
                <w:lang w:val="uk-UA" w:eastAsia="uk-UA"/>
              </w:rPr>
              <w:t>Унікальні бальнеологічні ресурси (Лумшори)</w:t>
            </w:r>
          </w:p>
          <w:p w:rsidR="00227FEF" w:rsidRDefault="00494B9D">
            <w:pPr>
              <w:numPr>
                <w:ilvl w:val="0"/>
                <w:numId w:val="11"/>
              </w:numPr>
              <w:spacing w:before="30" w:after="30"/>
              <w:rPr>
                <w:rFonts w:ascii="Times New Roman" w:eastAsia="Arial" w:hAnsi="Times New Roman"/>
                <w:color w:val="000000"/>
                <w:sz w:val="28"/>
                <w:szCs w:val="28"/>
                <w:lang w:val="uk-UA" w:eastAsia="uk-UA"/>
              </w:rPr>
            </w:pPr>
            <w:r>
              <w:rPr>
                <w:rFonts w:ascii="Times New Roman" w:eastAsia="Arial" w:hAnsi="Times New Roman"/>
                <w:color w:val="000000"/>
                <w:sz w:val="28"/>
                <w:szCs w:val="28"/>
                <w:lang w:val="uk-UA" w:eastAsia="uk-UA"/>
              </w:rPr>
              <w:t>Наявність ПКД на дорогу Тур’ї Ремети—Лумшори</w:t>
            </w:r>
          </w:p>
          <w:p w:rsidR="00227FEF" w:rsidRDefault="00494B9D">
            <w:pPr>
              <w:numPr>
                <w:ilvl w:val="0"/>
                <w:numId w:val="11"/>
              </w:numPr>
              <w:spacing w:before="30" w:after="30"/>
              <w:rPr>
                <w:rFonts w:ascii="Times New Roman" w:eastAsia="Arial" w:hAnsi="Times New Roman"/>
                <w:color w:val="000000"/>
                <w:sz w:val="28"/>
                <w:szCs w:val="28"/>
                <w:lang w:val="uk-UA" w:eastAsia="uk-UA"/>
              </w:rPr>
            </w:pPr>
            <w:r>
              <w:rPr>
                <w:rFonts w:ascii="Times New Roman" w:eastAsia="Arial" w:hAnsi="Times New Roman"/>
                <w:color w:val="000000"/>
                <w:sz w:val="28"/>
                <w:szCs w:val="28"/>
                <w:lang w:val="uk-UA" w:eastAsia="uk-UA"/>
              </w:rPr>
              <w:t>Реалізація проєкту ВЕС «Полонина Руна» (156 МВт)</w:t>
            </w:r>
          </w:p>
          <w:p w:rsidR="00227FEF" w:rsidRDefault="00494B9D">
            <w:pPr>
              <w:numPr>
                <w:ilvl w:val="0"/>
                <w:numId w:val="11"/>
              </w:numPr>
              <w:spacing w:before="30" w:after="30"/>
              <w:rPr>
                <w:rFonts w:ascii="Times New Roman" w:eastAsia="Arial" w:hAnsi="Times New Roman"/>
                <w:color w:val="000000"/>
                <w:sz w:val="28"/>
                <w:szCs w:val="28"/>
                <w:lang w:val="uk-UA" w:eastAsia="uk-UA"/>
              </w:rPr>
            </w:pPr>
            <w:r>
              <w:rPr>
                <w:rFonts w:ascii="Times New Roman" w:eastAsia="Arial" w:hAnsi="Times New Roman"/>
                <w:color w:val="000000"/>
                <w:sz w:val="28"/>
                <w:szCs w:val="28"/>
                <w:lang w:val="uk-UA" w:eastAsia="uk-UA"/>
              </w:rPr>
              <w:t>Багаті водні ресурси (р. Тур’я та притоки)</w:t>
            </w:r>
          </w:p>
        </w:tc>
        <w:tc>
          <w:tcPr>
            <w:tcW w:w="46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numPr>
                <w:ilvl w:val="0"/>
                <w:numId w:val="11"/>
              </w:numPr>
              <w:spacing w:before="30" w:after="30"/>
              <w:rPr>
                <w:rFonts w:ascii="Times New Roman" w:eastAsia="Arial" w:hAnsi="Times New Roman"/>
                <w:color w:val="000000"/>
                <w:sz w:val="28"/>
                <w:szCs w:val="28"/>
                <w:lang w:val="uk-UA" w:eastAsia="uk-UA"/>
              </w:rPr>
            </w:pPr>
            <w:r>
              <w:rPr>
                <w:rFonts w:ascii="Times New Roman" w:eastAsia="Arial" w:hAnsi="Times New Roman"/>
                <w:color w:val="000000"/>
                <w:sz w:val="28"/>
                <w:szCs w:val="28"/>
                <w:lang w:val="uk-UA" w:eastAsia="uk-UA"/>
              </w:rPr>
              <w:t>Відсутність централізованої каналізації (0 %)</w:t>
            </w:r>
          </w:p>
          <w:p w:rsidR="00227FEF" w:rsidRDefault="00494B9D">
            <w:pPr>
              <w:numPr>
                <w:ilvl w:val="0"/>
                <w:numId w:val="11"/>
              </w:numPr>
              <w:spacing w:before="30" w:after="30"/>
              <w:rPr>
                <w:rFonts w:ascii="Times New Roman" w:eastAsia="Arial" w:hAnsi="Times New Roman"/>
                <w:color w:val="000000"/>
                <w:sz w:val="28"/>
                <w:szCs w:val="28"/>
                <w:lang w:val="uk-UA" w:eastAsia="uk-UA"/>
              </w:rPr>
            </w:pPr>
            <w:r>
              <w:rPr>
                <w:rFonts w:ascii="Times New Roman" w:eastAsia="Arial" w:hAnsi="Times New Roman"/>
                <w:color w:val="000000"/>
                <w:sz w:val="28"/>
                <w:szCs w:val="28"/>
                <w:lang w:val="uk-UA" w:eastAsia="uk-UA"/>
              </w:rPr>
              <w:t>Незадовільний стан більшості доріг місцевого значення</w:t>
            </w:r>
          </w:p>
          <w:p w:rsidR="00227FEF" w:rsidRDefault="00494B9D">
            <w:pPr>
              <w:numPr>
                <w:ilvl w:val="0"/>
                <w:numId w:val="11"/>
              </w:numPr>
              <w:spacing w:before="30" w:after="30"/>
              <w:rPr>
                <w:rFonts w:ascii="Times New Roman" w:eastAsia="Arial" w:hAnsi="Times New Roman"/>
                <w:color w:val="000000"/>
                <w:sz w:val="28"/>
                <w:szCs w:val="28"/>
                <w:lang w:val="uk-UA" w:eastAsia="uk-UA"/>
              </w:rPr>
            </w:pPr>
            <w:r>
              <w:rPr>
                <w:rFonts w:ascii="Times New Roman" w:eastAsia="Arial" w:hAnsi="Times New Roman"/>
                <w:color w:val="000000"/>
                <w:sz w:val="28"/>
                <w:szCs w:val="28"/>
                <w:lang w:val="uk-UA" w:eastAsia="uk-UA"/>
              </w:rPr>
              <w:t>Застарілі електромережі з частими перебоями</w:t>
            </w:r>
          </w:p>
          <w:p w:rsidR="00227FEF" w:rsidRDefault="00494B9D">
            <w:pPr>
              <w:numPr>
                <w:ilvl w:val="0"/>
                <w:numId w:val="11"/>
              </w:numPr>
              <w:spacing w:before="30" w:after="30"/>
              <w:rPr>
                <w:rFonts w:ascii="Times New Roman" w:eastAsia="Arial" w:hAnsi="Times New Roman"/>
                <w:color w:val="000000"/>
                <w:sz w:val="28"/>
                <w:szCs w:val="28"/>
                <w:lang w:val="uk-UA" w:eastAsia="uk-UA"/>
              </w:rPr>
            </w:pPr>
            <w:r>
              <w:rPr>
                <w:rFonts w:ascii="Times New Roman" w:eastAsia="Arial" w:hAnsi="Times New Roman"/>
                <w:color w:val="000000"/>
                <w:sz w:val="28"/>
                <w:szCs w:val="28"/>
                <w:lang w:val="uk-UA" w:eastAsia="uk-UA"/>
              </w:rPr>
              <w:t>Обмежений громадський транспорт</w:t>
            </w:r>
          </w:p>
          <w:p w:rsidR="00227FEF" w:rsidRDefault="00494B9D">
            <w:pPr>
              <w:numPr>
                <w:ilvl w:val="0"/>
                <w:numId w:val="11"/>
              </w:numPr>
              <w:spacing w:before="30" w:after="30"/>
              <w:rPr>
                <w:rFonts w:ascii="Times New Roman" w:eastAsia="Arial" w:hAnsi="Times New Roman"/>
                <w:color w:val="000000"/>
                <w:sz w:val="28"/>
                <w:szCs w:val="28"/>
                <w:lang w:val="uk-UA" w:eastAsia="uk-UA"/>
              </w:rPr>
            </w:pPr>
            <w:r>
              <w:rPr>
                <w:rFonts w:ascii="Times New Roman" w:eastAsia="Arial" w:hAnsi="Times New Roman"/>
                <w:color w:val="000000"/>
                <w:sz w:val="28"/>
                <w:szCs w:val="28"/>
                <w:lang w:val="uk-UA" w:eastAsia="uk-UA"/>
              </w:rPr>
              <w:t>Критична ізоляція малих сіл (Лікіцари, Липовець, Свалявка)</w:t>
            </w:r>
          </w:p>
          <w:p w:rsidR="00227FEF" w:rsidRDefault="00227FEF">
            <w:pPr>
              <w:spacing w:before="30" w:after="30"/>
              <w:ind w:left="140"/>
              <w:rPr>
                <w:rFonts w:ascii="Times New Roman" w:eastAsia="Arial" w:hAnsi="Times New Roman"/>
                <w:color w:val="000000"/>
                <w:sz w:val="28"/>
                <w:szCs w:val="28"/>
                <w:lang w:val="uk-UA" w:eastAsia="uk-UA"/>
              </w:rPr>
            </w:pPr>
          </w:p>
          <w:p w:rsidR="00227FEF" w:rsidRDefault="00494B9D">
            <w:pPr>
              <w:numPr>
                <w:ilvl w:val="0"/>
                <w:numId w:val="11"/>
              </w:numPr>
              <w:spacing w:before="30" w:after="30"/>
              <w:rPr>
                <w:rFonts w:ascii="Times New Roman" w:eastAsia="Arial" w:hAnsi="Times New Roman"/>
                <w:color w:val="000000"/>
                <w:sz w:val="28"/>
                <w:szCs w:val="28"/>
                <w:lang w:val="uk-UA" w:eastAsia="uk-UA"/>
              </w:rPr>
            </w:pPr>
            <w:r>
              <w:rPr>
                <w:rFonts w:ascii="Times New Roman" w:eastAsia="Arial" w:hAnsi="Times New Roman"/>
                <w:color w:val="000000"/>
                <w:sz w:val="28"/>
                <w:szCs w:val="28"/>
                <w:lang w:val="uk-UA" w:eastAsia="uk-UA"/>
              </w:rPr>
              <w:t>Нестача медичного та пед. персоналу</w:t>
            </w:r>
          </w:p>
          <w:p w:rsidR="00227FEF" w:rsidRDefault="00494B9D">
            <w:pPr>
              <w:numPr>
                <w:ilvl w:val="0"/>
                <w:numId w:val="11"/>
              </w:numPr>
              <w:spacing w:before="30" w:after="30"/>
              <w:rPr>
                <w:rFonts w:ascii="Times New Roman" w:eastAsia="Arial" w:hAnsi="Times New Roman"/>
                <w:color w:val="000000"/>
                <w:sz w:val="28"/>
                <w:szCs w:val="28"/>
                <w:lang w:val="uk-UA" w:eastAsia="uk-UA"/>
              </w:rPr>
            </w:pPr>
            <w:r>
              <w:rPr>
                <w:rFonts w:ascii="Times New Roman" w:eastAsia="Arial" w:hAnsi="Times New Roman"/>
                <w:color w:val="000000"/>
                <w:sz w:val="28"/>
                <w:szCs w:val="28"/>
                <w:lang w:val="uk-UA" w:eastAsia="uk-UA"/>
              </w:rPr>
              <w:t>Низький бюджет (386,6 грн/осіб)</w:t>
            </w:r>
          </w:p>
        </w:tc>
      </w:tr>
      <w:tr w:rsidR="00227FEF">
        <w:tc>
          <w:tcPr>
            <w:tcW w:w="46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t>МОЖЛИВОСТІ (O)</w:t>
            </w:r>
          </w:p>
        </w:tc>
        <w:tc>
          <w:tcPr>
            <w:tcW w:w="46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t>ЗАГРОЗИ (T)</w:t>
            </w:r>
          </w:p>
        </w:tc>
      </w:tr>
      <w:tr w:rsidR="00227FEF">
        <w:tc>
          <w:tcPr>
            <w:tcW w:w="46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numPr>
                <w:ilvl w:val="0"/>
                <w:numId w:val="11"/>
              </w:numPr>
              <w:spacing w:before="30" w:after="30"/>
              <w:rPr>
                <w:rFonts w:ascii="Times New Roman" w:eastAsia="Arial" w:hAnsi="Times New Roman"/>
                <w:color w:val="000000"/>
                <w:sz w:val="28"/>
                <w:szCs w:val="28"/>
                <w:lang w:val="uk-UA" w:eastAsia="uk-UA"/>
              </w:rPr>
            </w:pPr>
            <w:r>
              <w:rPr>
                <w:rFonts w:ascii="Times New Roman" w:eastAsia="Arial" w:hAnsi="Times New Roman"/>
                <w:color w:val="000000"/>
                <w:sz w:val="28"/>
                <w:szCs w:val="28"/>
                <w:lang w:val="uk-UA" w:eastAsia="uk-UA"/>
              </w:rPr>
              <w:t>~50 млн грн/рік до бюджету від ВЕС</w:t>
            </w:r>
          </w:p>
          <w:p w:rsidR="00227FEF" w:rsidRDefault="00494B9D">
            <w:pPr>
              <w:numPr>
                <w:ilvl w:val="0"/>
                <w:numId w:val="11"/>
              </w:numPr>
              <w:spacing w:before="30" w:after="30"/>
              <w:rPr>
                <w:rFonts w:ascii="Times New Roman" w:eastAsia="Arial" w:hAnsi="Times New Roman"/>
                <w:color w:val="000000"/>
                <w:sz w:val="28"/>
                <w:szCs w:val="28"/>
                <w:lang w:val="uk-UA" w:eastAsia="uk-UA"/>
              </w:rPr>
            </w:pPr>
            <w:r>
              <w:rPr>
                <w:rFonts w:ascii="Times New Roman" w:eastAsia="Arial" w:hAnsi="Times New Roman"/>
                <w:color w:val="000000"/>
                <w:sz w:val="28"/>
                <w:szCs w:val="28"/>
                <w:lang w:val="uk-UA" w:eastAsia="uk-UA"/>
              </w:rPr>
              <w:t>Модернізація доріг при будівництві ВЕС</w:t>
            </w:r>
          </w:p>
          <w:p w:rsidR="00227FEF" w:rsidRDefault="00494B9D">
            <w:pPr>
              <w:numPr>
                <w:ilvl w:val="0"/>
                <w:numId w:val="11"/>
              </w:numPr>
              <w:spacing w:before="30" w:after="30"/>
              <w:rPr>
                <w:rFonts w:ascii="Times New Roman" w:eastAsia="Arial" w:hAnsi="Times New Roman"/>
                <w:color w:val="000000"/>
                <w:sz w:val="28"/>
                <w:szCs w:val="28"/>
                <w:lang w:val="uk-UA" w:eastAsia="uk-UA"/>
              </w:rPr>
            </w:pPr>
            <w:r>
              <w:rPr>
                <w:rFonts w:ascii="Times New Roman" w:eastAsia="Arial" w:hAnsi="Times New Roman"/>
                <w:color w:val="000000"/>
                <w:sz w:val="28"/>
                <w:szCs w:val="28"/>
                <w:lang w:val="uk-UA" w:eastAsia="uk-UA"/>
              </w:rPr>
              <w:t>Гранти ЄС (ENI CBC, транскордонне співробітництво)</w:t>
            </w:r>
          </w:p>
          <w:p w:rsidR="00227FEF" w:rsidRDefault="00494B9D">
            <w:pPr>
              <w:numPr>
                <w:ilvl w:val="0"/>
                <w:numId w:val="11"/>
              </w:numPr>
              <w:spacing w:before="30" w:after="30"/>
              <w:rPr>
                <w:rFonts w:ascii="Times New Roman" w:eastAsia="Arial" w:hAnsi="Times New Roman"/>
                <w:color w:val="000000"/>
                <w:sz w:val="28"/>
                <w:szCs w:val="28"/>
                <w:lang w:val="uk-UA" w:eastAsia="uk-UA"/>
              </w:rPr>
            </w:pPr>
            <w:r>
              <w:rPr>
                <w:rFonts w:ascii="Times New Roman" w:eastAsia="Arial" w:hAnsi="Times New Roman"/>
                <w:color w:val="000000"/>
                <w:sz w:val="28"/>
                <w:szCs w:val="28"/>
                <w:lang w:val="uk-UA" w:eastAsia="uk-UA"/>
              </w:rPr>
              <w:t>ДФРР та державні програми</w:t>
            </w:r>
          </w:p>
          <w:p w:rsidR="00227FEF" w:rsidRDefault="00494B9D">
            <w:pPr>
              <w:numPr>
                <w:ilvl w:val="0"/>
                <w:numId w:val="11"/>
              </w:numPr>
              <w:spacing w:before="30" w:after="30"/>
              <w:rPr>
                <w:rFonts w:ascii="Times New Roman" w:eastAsia="Arial" w:hAnsi="Times New Roman"/>
                <w:color w:val="000000"/>
                <w:sz w:val="28"/>
                <w:szCs w:val="28"/>
                <w:lang w:val="uk-UA" w:eastAsia="uk-UA"/>
              </w:rPr>
            </w:pPr>
            <w:r>
              <w:rPr>
                <w:rFonts w:ascii="Times New Roman" w:eastAsia="Arial" w:hAnsi="Times New Roman"/>
                <w:color w:val="000000"/>
                <w:sz w:val="28"/>
                <w:szCs w:val="28"/>
                <w:lang w:val="uk-UA" w:eastAsia="uk-UA"/>
              </w:rPr>
              <w:t>Розвиток бальнеологічного туризму (Лумшори)</w:t>
            </w:r>
          </w:p>
          <w:p w:rsidR="00227FEF" w:rsidRDefault="00494B9D">
            <w:pPr>
              <w:numPr>
                <w:ilvl w:val="0"/>
                <w:numId w:val="11"/>
              </w:numPr>
              <w:spacing w:before="30" w:after="30"/>
              <w:rPr>
                <w:rFonts w:ascii="Times New Roman" w:eastAsia="Arial" w:hAnsi="Times New Roman"/>
                <w:color w:val="000000"/>
                <w:sz w:val="28"/>
                <w:szCs w:val="28"/>
                <w:lang w:val="uk-UA" w:eastAsia="uk-UA"/>
              </w:rPr>
            </w:pPr>
            <w:r>
              <w:rPr>
                <w:rFonts w:ascii="Times New Roman" w:eastAsia="Arial" w:hAnsi="Times New Roman"/>
                <w:color w:val="000000"/>
                <w:sz w:val="28"/>
                <w:szCs w:val="28"/>
                <w:lang w:val="uk-UA" w:eastAsia="uk-UA"/>
              </w:rPr>
              <w:t>Маршрут «Шляхами Турянської Долини»</w:t>
            </w:r>
          </w:p>
          <w:p w:rsidR="00227FEF" w:rsidRDefault="00494B9D">
            <w:pPr>
              <w:numPr>
                <w:ilvl w:val="0"/>
                <w:numId w:val="11"/>
              </w:numPr>
              <w:spacing w:before="30" w:after="30"/>
              <w:rPr>
                <w:rFonts w:ascii="Times New Roman" w:eastAsia="Arial" w:hAnsi="Times New Roman"/>
                <w:color w:val="000000"/>
                <w:sz w:val="28"/>
                <w:szCs w:val="28"/>
                <w:lang w:val="uk-UA" w:eastAsia="uk-UA"/>
              </w:rPr>
            </w:pPr>
            <w:r>
              <w:rPr>
                <w:rFonts w:ascii="Times New Roman" w:eastAsia="Arial" w:hAnsi="Times New Roman"/>
                <w:color w:val="000000"/>
                <w:sz w:val="28"/>
                <w:szCs w:val="28"/>
                <w:lang w:val="uk-UA" w:eastAsia="uk-UA"/>
              </w:rPr>
              <w:t>Цифровізація та дистанційна зайнятість</w:t>
            </w:r>
          </w:p>
          <w:p w:rsidR="00227FEF" w:rsidRDefault="00494B9D">
            <w:pPr>
              <w:numPr>
                <w:ilvl w:val="0"/>
                <w:numId w:val="11"/>
              </w:numPr>
              <w:spacing w:before="30" w:after="30"/>
              <w:rPr>
                <w:rFonts w:ascii="Times New Roman" w:eastAsia="Arial" w:hAnsi="Times New Roman"/>
                <w:color w:val="000000"/>
                <w:sz w:val="28"/>
                <w:szCs w:val="28"/>
                <w:lang w:val="uk-UA" w:eastAsia="uk-UA"/>
              </w:rPr>
            </w:pPr>
            <w:r>
              <w:rPr>
                <w:rFonts w:ascii="Times New Roman" w:eastAsia="Arial" w:hAnsi="Times New Roman"/>
                <w:color w:val="000000"/>
                <w:sz w:val="28"/>
                <w:szCs w:val="28"/>
                <w:lang w:val="uk-UA" w:eastAsia="uk-UA"/>
              </w:rPr>
              <w:t>Програма «Велике будівництво» та розвиток гірських територій</w:t>
            </w:r>
          </w:p>
        </w:tc>
        <w:tc>
          <w:tcPr>
            <w:tcW w:w="4680"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numPr>
                <w:ilvl w:val="0"/>
                <w:numId w:val="11"/>
              </w:numPr>
              <w:spacing w:before="30" w:after="30"/>
              <w:rPr>
                <w:rFonts w:ascii="Times New Roman" w:eastAsia="Arial" w:hAnsi="Times New Roman"/>
                <w:color w:val="000000"/>
                <w:sz w:val="28"/>
                <w:szCs w:val="28"/>
                <w:lang w:val="uk-UA" w:eastAsia="uk-UA"/>
              </w:rPr>
            </w:pPr>
            <w:r>
              <w:rPr>
                <w:rFonts w:ascii="Times New Roman" w:eastAsia="Arial" w:hAnsi="Times New Roman"/>
                <w:color w:val="000000"/>
                <w:sz w:val="28"/>
                <w:szCs w:val="28"/>
                <w:lang w:val="uk-UA" w:eastAsia="uk-UA"/>
              </w:rPr>
              <w:t>Подальша деградація доріг при недофінансуванні</w:t>
            </w:r>
          </w:p>
          <w:p w:rsidR="00227FEF" w:rsidRDefault="00494B9D">
            <w:pPr>
              <w:numPr>
                <w:ilvl w:val="0"/>
                <w:numId w:val="11"/>
              </w:numPr>
              <w:spacing w:before="30" w:after="30"/>
              <w:rPr>
                <w:rFonts w:ascii="Times New Roman" w:eastAsia="Arial" w:hAnsi="Times New Roman"/>
                <w:color w:val="000000"/>
                <w:sz w:val="28"/>
                <w:szCs w:val="28"/>
                <w:lang w:val="uk-UA" w:eastAsia="uk-UA"/>
              </w:rPr>
            </w:pPr>
            <w:r>
              <w:rPr>
                <w:rFonts w:ascii="Times New Roman" w:eastAsia="Arial" w:hAnsi="Times New Roman"/>
                <w:color w:val="000000"/>
                <w:sz w:val="28"/>
                <w:szCs w:val="28"/>
                <w:lang w:val="uk-UA" w:eastAsia="uk-UA"/>
              </w:rPr>
              <w:t>Паводкові ризики (руйнування мостів, доріг, берегів)</w:t>
            </w:r>
          </w:p>
          <w:p w:rsidR="00227FEF" w:rsidRDefault="00494B9D">
            <w:pPr>
              <w:numPr>
                <w:ilvl w:val="0"/>
                <w:numId w:val="11"/>
              </w:numPr>
              <w:spacing w:before="30" w:after="30"/>
              <w:rPr>
                <w:rFonts w:ascii="Times New Roman" w:eastAsia="Arial" w:hAnsi="Times New Roman"/>
                <w:color w:val="000000"/>
                <w:sz w:val="28"/>
                <w:szCs w:val="28"/>
                <w:lang w:val="uk-UA" w:eastAsia="uk-UA"/>
              </w:rPr>
            </w:pPr>
            <w:r>
              <w:rPr>
                <w:rFonts w:ascii="Times New Roman" w:eastAsia="Arial" w:hAnsi="Times New Roman"/>
                <w:color w:val="000000"/>
                <w:sz w:val="28"/>
                <w:szCs w:val="28"/>
                <w:lang w:val="uk-UA" w:eastAsia="uk-UA"/>
              </w:rPr>
              <w:t>Відтік населення через відсутність інфраструктури</w:t>
            </w:r>
          </w:p>
          <w:p w:rsidR="00227FEF" w:rsidRDefault="00494B9D">
            <w:pPr>
              <w:numPr>
                <w:ilvl w:val="0"/>
                <w:numId w:val="11"/>
              </w:numPr>
              <w:spacing w:before="30" w:after="30"/>
              <w:rPr>
                <w:rFonts w:ascii="Times New Roman" w:eastAsia="Arial" w:hAnsi="Times New Roman"/>
                <w:color w:val="000000"/>
                <w:sz w:val="28"/>
                <w:szCs w:val="28"/>
                <w:lang w:val="uk-UA" w:eastAsia="uk-UA"/>
              </w:rPr>
            </w:pPr>
            <w:r>
              <w:rPr>
                <w:rFonts w:ascii="Times New Roman" w:eastAsia="Arial" w:hAnsi="Times New Roman"/>
                <w:color w:val="000000"/>
                <w:sz w:val="28"/>
                <w:szCs w:val="28"/>
                <w:lang w:val="uk-UA" w:eastAsia="uk-UA"/>
              </w:rPr>
              <w:t>Екологічні ризики (стоки, стихійні звалища)</w:t>
            </w:r>
          </w:p>
          <w:p w:rsidR="00227FEF" w:rsidRDefault="00494B9D">
            <w:pPr>
              <w:numPr>
                <w:ilvl w:val="0"/>
                <w:numId w:val="11"/>
              </w:numPr>
              <w:spacing w:before="30" w:after="30"/>
              <w:rPr>
                <w:rFonts w:ascii="Times New Roman" w:eastAsia="Arial" w:hAnsi="Times New Roman"/>
                <w:color w:val="000000"/>
                <w:sz w:val="28"/>
                <w:szCs w:val="28"/>
                <w:lang w:val="uk-UA" w:eastAsia="uk-UA"/>
              </w:rPr>
            </w:pPr>
            <w:r>
              <w:rPr>
                <w:rFonts w:ascii="Times New Roman" w:eastAsia="Arial" w:hAnsi="Times New Roman"/>
                <w:color w:val="000000"/>
                <w:sz w:val="28"/>
                <w:szCs w:val="28"/>
                <w:lang w:val="uk-UA" w:eastAsia="uk-UA"/>
              </w:rPr>
              <w:t>Військові ризики (обстріли енергоінфраструктури)</w:t>
            </w:r>
          </w:p>
          <w:p w:rsidR="00227FEF" w:rsidRDefault="00494B9D">
            <w:pPr>
              <w:numPr>
                <w:ilvl w:val="0"/>
                <w:numId w:val="11"/>
              </w:numPr>
              <w:spacing w:before="30" w:after="30"/>
              <w:rPr>
                <w:rFonts w:ascii="Times New Roman" w:eastAsia="Arial" w:hAnsi="Times New Roman"/>
                <w:color w:val="000000"/>
                <w:sz w:val="28"/>
                <w:szCs w:val="28"/>
                <w:lang w:val="uk-UA" w:eastAsia="uk-UA"/>
              </w:rPr>
            </w:pPr>
            <w:r>
              <w:rPr>
                <w:rFonts w:ascii="Times New Roman" w:eastAsia="Arial" w:hAnsi="Times New Roman"/>
                <w:color w:val="000000"/>
                <w:sz w:val="28"/>
                <w:szCs w:val="28"/>
                <w:lang w:val="uk-UA" w:eastAsia="uk-UA"/>
              </w:rPr>
              <w:t>Конкуренті за грантові кошти з іншими громадами</w:t>
            </w:r>
          </w:p>
          <w:p w:rsidR="00227FEF" w:rsidRDefault="00494B9D">
            <w:pPr>
              <w:numPr>
                <w:ilvl w:val="0"/>
                <w:numId w:val="11"/>
              </w:numPr>
              <w:spacing w:before="30" w:after="30"/>
              <w:rPr>
                <w:rFonts w:ascii="Times New Roman" w:eastAsia="Arial" w:hAnsi="Times New Roman"/>
                <w:color w:val="000000"/>
                <w:sz w:val="28"/>
                <w:szCs w:val="28"/>
                <w:lang w:val="uk-UA" w:eastAsia="uk-UA"/>
              </w:rPr>
            </w:pPr>
            <w:r>
              <w:rPr>
                <w:rFonts w:ascii="Times New Roman" w:eastAsia="Arial" w:hAnsi="Times New Roman"/>
                <w:color w:val="000000"/>
                <w:sz w:val="28"/>
                <w:szCs w:val="28"/>
                <w:lang w:val="uk-UA" w:eastAsia="uk-UA"/>
              </w:rPr>
              <w:t>Зміна клімату — почастішання паводків</w:t>
            </w:r>
          </w:p>
        </w:tc>
      </w:tr>
    </w:tbl>
    <w:p w:rsidR="00227FEF" w:rsidRDefault="00494B9D">
      <w:pPr>
        <w:spacing w:before="120" w:after="120" w:line="276" w:lineRule="auto"/>
        <w:ind w:firstLine="708"/>
        <w:outlineLvl w:val="1"/>
        <w:rPr>
          <w:rFonts w:ascii="Times New Roman" w:eastAsia="Arial" w:hAnsi="Times New Roman"/>
          <w:b/>
          <w:bCs/>
          <w:sz w:val="28"/>
          <w:szCs w:val="28"/>
          <w:lang w:val="uk-UA" w:eastAsia="uk-UA"/>
        </w:rPr>
      </w:pPr>
      <w:r>
        <w:rPr>
          <w:rFonts w:ascii="Times New Roman" w:eastAsia="Arial" w:hAnsi="Times New Roman"/>
          <w:b/>
          <w:bCs/>
          <w:sz w:val="28"/>
          <w:szCs w:val="28"/>
          <w:lang w:val="uk-UA" w:eastAsia="uk-UA"/>
        </w:rPr>
        <w:lastRenderedPageBreak/>
        <w:t>9. Пріоритетні напрями та план дій з розвитку інфраструктури</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 xml:space="preserve">На основі аналізу поточного стану, </w:t>
      </w:r>
      <w:r>
        <w:rPr>
          <w:rFonts w:ascii="Times New Roman" w:eastAsia="Arial" w:hAnsi="Times New Roman"/>
          <w:sz w:val="28"/>
          <w:szCs w:val="28"/>
        </w:rPr>
        <w:t>SWOT</w:t>
      </w:r>
      <w:r>
        <w:rPr>
          <w:rFonts w:ascii="Times New Roman" w:eastAsia="Arial" w:hAnsi="Times New Roman"/>
          <w:sz w:val="28"/>
          <w:szCs w:val="28"/>
          <w:lang w:val="ru-RU"/>
        </w:rPr>
        <w:t>-матриці та з урахуванням стратегічного ефекту від реалізації проєкту ВЕС «Полонина Руна» визначено 12 пріоритетних напрямів розвитку інфраструктури.</w:t>
      </w:r>
    </w:p>
    <w:p w:rsidR="00227FEF" w:rsidRDefault="00494B9D">
      <w:pPr>
        <w:spacing w:before="240" w:after="120"/>
        <w:jc w:val="center"/>
        <w:rPr>
          <w:rFonts w:ascii="Times New Roman" w:hAnsi="Times New Roman"/>
          <w:sz w:val="28"/>
          <w:szCs w:val="28"/>
          <w:lang w:val="ru-RU"/>
        </w:rPr>
      </w:pPr>
      <w:r>
        <w:rPr>
          <w:rFonts w:ascii="Times New Roman" w:eastAsia="Arial" w:hAnsi="Times New Roman"/>
          <w:b/>
          <w:bCs/>
          <w:sz w:val="28"/>
          <w:szCs w:val="28"/>
          <w:lang w:val="ru-RU"/>
        </w:rPr>
        <w:t>Таблиця 10.</w:t>
      </w:r>
      <w:r>
        <w:rPr>
          <w:rFonts w:ascii="Times New Roman" w:eastAsia="Arial" w:hAnsi="Times New Roman"/>
          <w:sz w:val="28"/>
          <w:szCs w:val="28"/>
          <w:lang w:val="ru-RU"/>
        </w:rPr>
        <w:t xml:space="preserve"> Пріоритетні напрями розвитку інфраструктури громади</w:t>
      </w:r>
    </w:p>
    <w:tbl>
      <w:tblPr>
        <w:tblW w:w="9360" w:type="dxa"/>
        <w:tblLayout w:type="fixed"/>
        <w:tblCellMar>
          <w:top w:w="60" w:type="dxa"/>
          <w:left w:w="100" w:type="dxa"/>
          <w:bottom w:w="60" w:type="dxa"/>
          <w:right w:w="100" w:type="dxa"/>
        </w:tblCellMar>
        <w:tblLook w:val="0000" w:firstRow="0" w:lastRow="0" w:firstColumn="0" w:lastColumn="0" w:noHBand="0" w:noVBand="0"/>
      </w:tblPr>
      <w:tblGrid>
        <w:gridCol w:w="2522"/>
        <w:gridCol w:w="2755"/>
        <w:gridCol w:w="1508"/>
        <w:gridCol w:w="1106"/>
        <w:gridCol w:w="1469"/>
      </w:tblGrid>
      <w:tr w:rsidR="00227FEF">
        <w:tc>
          <w:tcPr>
            <w:tcW w:w="252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t>Напрям</w:t>
            </w:r>
          </w:p>
        </w:tc>
        <w:tc>
          <w:tcPr>
            <w:tcW w:w="275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t>Ключові заходи</w:t>
            </w:r>
          </w:p>
        </w:tc>
        <w:tc>
          <w:tcPr>
            <w:tcW w:w="150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t>Пріоритет</w:t>
            </w:r>
          </w:p>
        </w:tc>
        <w:tc>
          <w:tcPr>
            <w:tcW w:w="110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t>Термін</w:t>
            </w:r>
          </w:p>
        </w:tc>
        <w:tc>
          <w:tcPr>
            <w:tcW w:w="146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t>Джерела</w:t>
            </w:r>
          </w:p>
        </w:tc>
      </w:tr>
      <w:tr w:rsidR="00227FEF">
        <w:tc>
          <w:tcPr>
            <w:tcW w:w="2522"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Дорожня інфраструктура</w:t>
            </w:r>
          </w:p>
        </w:tc>
        <w:tc>
          <w:tcPr>
            <w:tcW w:w="2755"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Капремонт дороги Тур’ї Ремети—Лумшори (11,34 км); ремонт доріг до віддалених сіл; асфальтування внутрішньосельових доріг; зимове утримання</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t>Високий</w:t>
            </w:r>
          </w:p>
        </w:tc>
        <w:tc>
          <w:tcPr>
            <w:tcW w:w="1106"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2026–2030</w:t>
            </w:r>
          </w:p>
        </w:tc>
        <w:tc>
          <w:tcPr>
            <w:tcW w:w="1469"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ДФРР, ВЕС, ЄС</w:t>
            </w:r>
          </w:p>
        </w:tc>
      </w:tr>
      <w:tr w:rsidR="00227FEF">
        <w:tc>
          <w:tcPr>
            <w:tcW w:w="2522"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Водопостачання</w:t>
            </w:r>
          </w:p>
        </w:tc>
        <w:tc>
          <w:tcPr>
            <w:tcW w:w="2755"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Розбудова водогонів у селах без ЦВ; ремонт існуючих мереж; каптування джерел; зниження втрат</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t>Високий</w:t>
            </w:r>
          </w:p>
        </w:tc>
        <w:tc>
          <w:tcPr>
            <w:tcW w:w="1106"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2026–2032</w:t>
            </w:r>
          </w:p>
        </w:tc>
        <w:tc>
          <w:tcPr>
            <w:tcW w:w="1469"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ДФРР, ЄС, бюджет</w:t>
            </w:r>
          </w:p>
        </w:tc>
      </w:tr>
      <w:tr w:rsidR="00227FEF">
        <w:tc>
          <w:tcPr>
            <w:tcW w:w="2522"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Каналізація</w:t>
            </w:r>
          </w:p>
        </w:tc>
        <w:tc>
          <w:tcPr>
            <w:tcW w:w="2755"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Будівництво локальних очисних споруд у великих селах; пілотні проєкти; септики для малих сіл</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t>Середній</w:t>
            </w:r>
          </w:p>
        </w:tc>
        <w:tc>
          <w:tcPr>
            <w:tcW w:w="1106"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2028–2035</w:t>
            </w:r>
          </w:p>
        </w:tc>
        <w:tc>
          <w:tcPr>
            <w:tcW w:w="1469"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ЄС, ДФРР</w:t>
            </w:r>
          </w:p>
        </w:tc>
      </w:tr>
      <w:tr w:rsidR="00227FEF">
        <w:tc>
          <w:tcPr>
            <w:tcW w:w="2522"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Енергетична інфраструктура</w:t>
            </w:r>
          </w:p>
        </w:tc>
        <w:tc>
          <w:tcPr>
            <w:tcW w:w="2755"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ВЕС 156 МВт; модернізація електромереж; сонячні панелі на соцоб’єктах; котельні на біомасі</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t>Високий</w:t>
            </w:r>
          </w:p>
        </w:tc>
        <w:tc>
          <w:tcPr>
            <w:tcW w:w="1106"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2026–2030</w:t>
            </w:r>
          </w:p>
        </w:tc>
        <w:tc>
          <w:tcPr>
            <w:tcW w:w="1469"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€170–220M, бюджет</w:t>
            </w:r>
          </w:p>
        </w:tc>
      </w:tr>
      <w:tr w:rsidR="00227FEF">
        <w:tc>
          <w:tcPr>
            <w:tcW w:w="2522"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Цифрова інфраструктура</w:t>
            </w:r>
          </w:p>
        </w:tc>
        <w:tc>
          <w:tcPr>
            <w:tcW w:w="2755"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rPr>
              <w:t>Wi</w:t>
            </w:r>
            <w:r>
              <w:rPr>
                <w:rFonts w:ascii="Times New Roman" w:eastAsia="Arial" w:hAnsi="Times New Roman"/>
                <w:color w:val="000000"/>
                <w:sz w:val="28"/>
                <w:szCs w:val="28"/>
                <w:lang w:val="ru-RU"/>
              </w:rPr>
              <w:t>-</w:t>
            </w:r>
            <w:r>
              <w:rPr>
                <w:rFonts w:ascii="Times New Roman" w:eastAsia="Arial" w:hAnsi="Times New Roman"/>
                <w:color w:val="000000"/>
                <w:sz w:val="28"/>
                <w:szCs w:val="28"/>
              </w:rPr>
              <w:t>Fi</w:t>
            </w:r>
            <w:r>
              <w:rPr>
                <w:rFonts w:ascii="Times New Roman" w:eastAsia="Arial" w:hAnsi="Times New Roman"/>
                <w:color w:val="000000"/>
                <w:sz w:val="28"/>
                <w:szCs w:val="28"/>
                <w:lang w:val="ru-RU"/>
              </w:rPr>
              <w:t xml:space="preserve"> у публічних місцях; коворкінг</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t>Високий</w:t>
            </w:r>
          </w:p>
        </w:tc>
        <w:tc>
          <w:tcPr>
            <w:tcW w:w="1106"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2026–2029</w:t>
            </w:r>
          </w:p>
        </w:tc>
        <w:tc>
          <w:tcPr>
            <w:tcW w:w="1469"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ВЕС, ЄС, оператори</w:t>
            </w:r>
          </w:p>
        </w:tc>
      </w:tr>
      <w:tr w:rsidR="00227FEF">
        <w:tc>
          <w:tcPr>
            <w:tcW w:w="2522"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Освітня інфраструктура</w:t>
            </w:r>
          </w:p>
        </w:tc>
        <w:tc>
          <w:tcPr>
            <w:tcW w:w="2755"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 xml:space="preserve">Завершення ЗДО Тур’я Пасіка; ремонт </w:t>
            </w:r>
            <w:r>
              <w:rPr>
                <w:rFonts w:ascii="Times New Roman" w:eastAsia="Arial" w:hAnsi="Times New Roman"/>
                <w:color w:val="000000"/>
                <w:sz w:val="28"/>
                <w:szCs w:val="28"/>
                <w:lang w:val="ru-RU"/>
              </w:rPr>
              <w:lastRenderedPageBreak/>
              <w:t xml:space="preserve">шкіл; комп’ютеризація; </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lastRenderedPageBreak/>
              <w:t>Високий</w:t>
            </w:r>
          </w:p>
        </w:tc>
        <w:tc>
          <w:tcPr>
            <w:tcW w:w="1106"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2026–2030</w:t>
            </w:r>
          </w:p>
        </w:tc>
        <w:tc>
          <w:tcPr>
            <w:tcW w:w="1469"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ДФРР, ВЕС, бюджет</w:t>
            </w:r>
          </w:p>
        </w:tc>
      </w:tr>
      <w:tr w:rsidR="00227FEF">
        <w:tc>
          <w:tcPr>
            <w:tcW w:w="2522"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lastRenderedPageBreak/>
              <w:t>Медична інфраструктура</w:t>
            </w:r>
          </w:p>
        </w:tc>
        <w:tc>
          <w:tcPr>
            <w:tcW w:w="2755"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Модернізація ФАПів; телемедицина; мобільні медичні бригади; обладнання</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t>Високий</w:t>
            </w:r>
          </w:p>
        </w:tc>
        <w:tc>
          <w:tcPr>
            <w:tcW w:w="1106"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2026–2030</w:t>
            </w:r>
          </w:p>
        </w:tc>
        <w:tc>
          <w:tcPr>
            <w:tcW w:w="1469"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Бюджет, ЄС, NHSU</w:t>
            </w:r>
          </w:p>
        </w:tc>
      </w:tr>
      <w:tr w:rsidR="00227FEF">
        <w:tc>
          <w:tcPr>
            <w:tcW w:w="2522"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Туристична інфраструктура</w:t>
            </w:r>
          </w:p>
        </w:tc>
        <w:tc>
          <w:tcPr>
            <w:tcW w:w="2755"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Благоустрій Лумшор; маршрут «Шляхами ТД»; інфоцентр; маркування стежок; санітарні зони</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t>Середній</w:t>
            </w:r>
          </w:p>
        </w:tc>
        <w:tc>
          <w:tcPr>
            <w:tcW w:w="1106"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2027–2032</w:t>
            </w:r>
          </w:p>
        </w:tc>
        <w:tc>
          <w:tcPr>
            <w:tcW w:w="1469"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ВЕС, ЄС, приватний</w:t>
            </w:r>
          </w:p>
        </w:tc>
      </w:tr>
      <w:tr w:rsidR="00227FEF">
        <w:tc>
          <w:tcPr>
            <w:tcW w:w="2522"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Протипаводковий захист</w:t>
            </w:r>
          </w:p>
        </w:tc>
        <w:tc>
          <w:tcPr>
            <w:tcW w:w="2755"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Берегоукріплення р. Тур’я; дамби; розчищення русел; системи раннього попередження</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t>Високий</w:t>
            </w:r>
          </w:p>
        </w:tc>
        <w:tc>
          <w:tcPr>
            <w:tcW w:w="1106"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2026–2030</w:t>
            </w:r>
          </w:p>
        </w:tc>
        <w:tc>
          <w:tcPr>
            <w:tcW w:w="1469"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БУВР, ДФРР, ЄС</w:t>
            </w:r>
          </w:p>
        </w:tc>
      </w:tr>
      <w:tr w:rsidR="00227FEF">
        <w:tc>
          <w:tcPr>
            <w:tcW w:w="2522"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Управління відходами</w:t>
            </w:r>
          </w:p>
        </w:tc>
        <w:tc>
          <w:tcPr>
            <w:tcW w:w="2755"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Контейнерні майданчики; ліквідація звалищ; роздільний збір; вивіз ТПВ з малих сіл</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t>Середній</w:t>
            </w:r>
          </w:p>
        </w:tc>
        <w:tc>
          <w:tcPr>
            <w:tcW w:w="1106"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2026–2030</w:t>
            </w:r>
          </w:p>
        </w:tc>
        <w:tc>
          <w:tcPr>
            <w:tcW w:w="1469"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Бюджет, ВЕС</w:t>
            </w:r>
          </w:p>
        </w:tc>
      </w:tr>
      <w:tr w:rsidR="00227FEF">
        <w:tc>
          <w:tcPr>
            <w:tcW w:w="2522"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Житлова інфраструктура</w:t>
            </w:r>
          </w:p>
        </w:tc>
        <w:tc>
          <w:tcPr>
            <w:tcW w:w="2755"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Службове житло для лікарів/вчителів; програми для молоді; енергоефективність</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t>Середній</w:t>
            </w:r>
          </w:p>
        </w:tc>
        <w:tc>
          <w:tcPr>
            <w:tcW w:w="1106"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2027–2035</w:t>
            </w:r>
          </w:p>
        </w:tc>
        <w:tc>
          <w:tcPr>
            <w:tcW w:w="1469"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ВЕС, ДФРР, бюджет</w:t>
            </w:r>
          </w:p>
        </w:tc>
      </w:tr>
      <w:tr w:rsidR="00227FEF">
        <w:tc>
          <w:tcPr>
            <w:tcW w:w="2522"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227FEF">
            <w:pPr>
              <w:snapToGrid w:val="0"/>
              <w:rPr>
                <w:rFonts w:ascii="Times New Roman" w:hAnsi="Times New Roman"/>
                <w:color w:val="000000"/>
                <w:sz w:val="28"/>
                <w:szCs w:val="28"/>
              </w:rPr>
            </w:pPr>
          </w:p>
        </w:tc>
        <w:tc>
          <w:tcPr>
            <w:tcW w:w="2755"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227FEF">
            <w:pPr>
              <w:snapToGrid w:val="0"/>
              <w:rPr>
                <w:rFonts w:ascii="Times New Roman" w:hAnsi="Times New Roman"/>
                <w:color w:val="000000"/>
                <w:sz w:val="28"/>
                <w:szCs w:val="28"/>
                <w:lang w:val="ru-RU"/>
              </w:rPr>
            </w:pPr>
          </w:p>
        </w:tc>
        <w:tc>
          <w:tcPr>
            <w:tcW w:w="1508"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227FEF">
            <w:pPr>
              <w:snapToGrid w:val="0"/>
              <w:jc w:val="center"/>
              <w:rPr>
                <w:rFonts w:ascii="Times New Roman" w:hAnsi="Times New Roman"/>
                <w:color w:val="000000"/>
                <w:sz w:val="28"/>
                <w:szCs w:val="28"/>
                <w:lang w:val="ru-RU"/>
              </w:rPr>
            </w:pPr>
          </w:p>
        </w:tc>
        <w:tc>
          <w:tcPr>
            <w:tcW w:w="1106"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227FEF">
            <w:pPr>
              <w:snapToGrid w:val="0"/>
              <w:jc w:val="center"/>
              <w:rPr>
                <w:rFonts w:ascii="Times New Roman" w:hAnsi="Times New Roman"/>
                <w:color w:val="000000"/>
                <w:sz w:val="28"/>
                <w:szCs w:val="28"/>
              </w:rPr>
            </w:pPr>
          </w:p>
        </w:tc>
        <w:tc>
          <w:tcPr>
            <w:tcW w:w="1469"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227FEF">
            <w:pPr>
              <w:snapToGrid w:val="0"/>
              <w:jc w:val="center"/>
              <w:rPr>
                <w:rFonts w:ascii="Times New Roman" w:hAnsi="Times New Roman"/>
                <w:color w:val="000000"/>
                <w:sz w:val="28"/>
                <w:szCs w:val="28"/>
              </w:rPr>
            </w:pPr>
          </w:p>
        </w:tc>
      </w:tr>
    </w:tbl>
    <w:p w:rsidR="00227FEF" w:rsidRDefault="00494B9D">
      <w:pPr>
        <w:spacing w:before="120" w:after="120" w:line="276" w:lineRule="auto"/>
        <w:ind w:firstLine="708"/>
        <w:outlineLvl w:val="2"/>
        <w:rPr>
          <w:rFonts w:ascii="Times New Roman" w:eastAsia="Arial" w:hAnsi="Times New Roman"/>
          <w:b/>
          <w:bCs/>
          <w:sz w:val="28"/>
          <w:szCs w:val="28"/>
          <w:lang w:val="uk-UA" w:eastAsia="uk-UA"/>
        </w:rPr>
      </w:pPr>
      <w:r>
        <w:rPr>
          <w:rFonts w:ascii="Times New Roman" w:eastAsia="Arial" w:hAnsi="Times New Roman"/>
          <w:b/>
          <w:bCs/>
          <w:sz w:val="28"/>
          <w:szCs w:val="28"/>
          <w:lang w:val="uk-UA" w:eastAsia="uk-UA"/>
        </w:rPr>
        <w:t>9.1. Етапність реалізації</w:t>
      </w:r>
    </w:p>
    <w:p w:rsidR="00227FEF" w:rsidRPr="005E48D4" w:rsidRDefault="00494B9D">
      <w:pPr>
        <w:spacing w:before="120" w:after="120" w:line="276" w:lineRule="auto"/>
        <w:ind w:firstLine="708"/>
        <w:jc w:val="both"/>
        <w:rPr>
          <w:lang w:val="uk-UA"/>
        </w:rPr>
      </w:pPr>
      <w:r>
        <w:rPr>
          <w:rFonts w:ascii="Times New Roman" w:eastAsia="Arial" w:hAnsi="Times New Roman"/>
          <w:b/>
          <w:bCs/>
          <w:sz w:val="28"/>
          <w:szCs w:val="28"/>
        </w:rPr>
        <w:t>I</w:t>
      </w:r>
      <w:r>
        <w:rPr>
          <w:rFonts w:ascii="Times New Roman" w:eastAsia="Arial" w:hAnsi="Times New Roman"/>
          <w:b/>
          <w:bCs/>
          <w:sz w:val="28"/>
          <w:szCs w:val="28"/>
          <w:lang w:val="uk-UA"/>
        </w:rPr>
        <w:t xml:space="preserve"> етап (2026–2028) — невідкладні заходи: </w:t>
      </w:r>
      <w:r>
        <w:rPr>
          <w:rFonts w:ascii="Times New Roman" w:eastAsia="Arial" w:hAnsi="Times New Roman"/>
          <w:sz w:val="28"/>
          <w:szCs w:val="28"/>
          <w:lang w:val="uk-UA"/>
        </w:rPr>
        <w:t>капітальний ремонт дороги Тур’ї Ремети—Лумшори (ПКД готова); завершення будівництва ЗДО у Тур’я Пасіці; модернізація ключових ФАПів; встановлення додаткових базових станцій 4</w:t>
      </w:r>
      <w:r>
        <w:rPr>
          <w:rFonts w:ascii="Times New Roman" w:eastAsia="Arial" w:hAnsi="Times New Roman"/>
          <w:sz w:val="28"/>
          <w:szCs w:val="28"/>
        </w:rPr>
        <w:t>G</w:t>
      </w:r>
      <w:r>
        <w:rPr>
          <w:rFonts w:ascii="Times New Roman" w:eastAsia="Arial" w:hAnsi="Times New Roman"/>
          <w:sz w:val="28"/>
          <w:szCs w:val="28"/>
          <w:lang w:val="uk-UA"/>
        </w:rPr>
        <w:t>.</w:t>
      </w:r>
    </w:p>
    <w:p w:rsidR="00227FEF" w:rsidRDefault="00494B9D">
      <w:pPr>
        <w:spacing w:before="120" w:after="120" w:line="276" w:lineRule="auto"/>
        <w:ind w:firstLine="708"/>
        <w:jc w:val="both"/>
        <w:rPr>
          <w:rFonts w:ascii="Times New Roman" w:hAnsi="Times New Roman"/>
          <w:sz w:val="28"/>
          <w:szCs w:val="28"/>
          <w:lang w:val="uk-UA"/>
        </w:rPr>
      </w:pPr>
      <w:r>
        <w:rPr>
          <w:rFonts w:ascii="Times New Roman" w:eastAsia="Arial" w:hAnsi="Times New Roman"/>
          <w:b/>
          <w:bCs/>
          <w:sz w:val="28"/>
          <w:szCs w:val="28"/>
        </w:rPr>
        <w:t>II</w:t>
      </w:r>
      <w:r>
        <w:rPr>
          <w:rFonts w:ascii="Times New Roman" w:eastAsia="Arial" w:hAnsi="Times New Roman"/>
          <w:b/>
          <w:bCs/>
          <w:sz w:val="28"/>
          <w:szCs w:val="28"/>
          <w:lang w:val="uk-UA"/>
        </w:rPr>
        <w:t xml:space="preserve"> етап (2028–2030) — системні інвестиції (з урахуванням бюджету від ВЕС): </w:t>
      </w:r>
      <w:r>
        <w:rPr>
          <w:rFonts w:ascii="Times New Roman" w:eastAsia="Arial" w:hAnsi="Times New Roman"/>
          <w:sz w:val="28"/>
          <w:szCs w:val="28"/>
          <w:lang w:val="uk-UA"/>
        </w:rPr>
        <w:t xml:space="preserve">ремонт доріг до віддалених сіл; розбудова систем водопостачання; модернізація електромереж; модернізація шкіл; берегоукріплення; </w:t>
      </w:r>
      <w:r>
        <w:rPr>
          <w:rFonts w:ascii="Times New Roman" w:eastAsia="Arial" w:hAnsi="Times New Roman"/>
          <w:sz w:val="28"/>
          <w:szCs w:val="28"/>
        </w:rPr>
        <w:t>LED</w:t>
      </w:r>
      <w:r>
        <w:rPr>
          <w:rFonts w:ascii="Times New Roman" w:eastAsia="Arial" w:hAnsi="Times New Roman"/>
          <w:sz w:val="28"/>
          <w:szCs w:val="28"/>
          <w:lang w:val="uk-UA"/>
        </w:rPr>
        <w:t>-освітлення; будівництво службового житла.</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b/>
          <w:bCs/>
          <w:sz w:val="28"/>
          <w:szCs w:val="28"/>
        </w:rPr>
        <w:lastRenderedPageBreak/>
        <w:t>III</w:t>
      </w:r>
      <w:r>
        <w:rPr>
          <w:rFonts w:ascii="Times New Roman" w:eastAsia="Arial" w:hAnsi="Times New Roman"/>
          <w:b/>
          <w:bCs/>
          <w:sz w:val="28"/>
          <w:szCs w:val="28"/>
          <w:lang w:val="ru-RU"/>
        </w:rPr>
        <w:t xml:space="preserve"> етап (2030–2035) — стратегічний розвиток: </w:t>
      </w:r>
      <w:r>
        <w:rPr>
          <w:rFonts w:ascii="Times New Roman" w:eastAsia="Arial" w:hAnsi="Times New Roman"/>
          <w:sz w:val="28"/>
          <w:szCs w:val="28"/>
          <w:lang w:val="ru-RU"/>
        </w:rPr>
        <w:t>будівництво очисних споруд у великих селах; туристична інфраструктура Лумшорів; спортивний комплекс; енергоефективність будівель; газифікація або альтернативне теплопостачання; комплексний благоустрій.</w:t>
      </w:r>
    </w:p>
    <w:p w:rsidR="00227FEF" w:rsidRDefault="00494B9D">
      <w:pPr>
        <w:spacing w:before="120" w:after="120" w:line="276" w:lineRule="auto"/>
        <w:ind w:firstLine="708"/>
        <w:outlineLvl w:val="1"/>
        <w:rPr>
          <w:rFonts w:ascii="Times New Roman" w:eastAsia="Arial" w:hAnsi="Times New Roman"/>
          <w:b/>
          <w:bCs/>
          <w:sz w:val="28"/>
          <w:szCs w:val="28"/>
          <w:lang w:val="uk-UA" w:eastAsia="uk-UA"/>
        </w:rPr>
      </w:pPr>
      <w:r>
        <w:rPr>
          <w:rFonts w:ascii="Times New Roman" w:eastAsia="Arial" w:hAnsi="Times New Roman"/>
          <w:b/>
          <w:bCs/>
          <w:sz w:val="28"/>
          <w:szCs w:val="28"/>
          <w:lang w:val="uk-UA" w:eastAsia="uk-UA"/>
        </w:rPr>
        <w:t>10. Джерела фінансування та механізми реалізації</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Реалізація інфраструктурних проєктів потребує диверсифікованого підходу до фінансування. Ключовою зміною для бюджетної спроможності громади стане введення в експлуатацію ВЕС «Полонина Руна»: за угодою про соціальне партнерство надходження до місцевого бюджету становитимуть орієнтовно 50 млн грн/рік (3 % від продажу електроенергії). При нинішньому річному бюджеті ~15 млн грн це означає збільшення доходної частини в 4–5 разів, що відкриває принципово нові можливості для інвестицій у всі види інфраструктури.</w:t>
      </w:r>
    </w:p>
    <w:p w:rsidR="00227FEF" w:rsidRDefault="00494B9D">
      <w:pPr>
        <w:spacing w:before="240" w:after="120"/>
        <w:jc w:val="center"/>
        <w:rPr>
          <w:rFonts w:ascii="Times New Roman" w:hAnsi="Times New Roman"/>
          <w:sz w:val="28"/>
          <w:szCs w:val="28"/>
        </w:rPr>
      </w:pPr>
      <w:r>
        <w:rPr>
          <w:rFonts w:ascii="Times New Roman" w:eastAsia="Arial" w:hAnsi="Times New Roman"/>
          <w:b/>
          <w:bCs/>
          <w:sz w:val="28"/>
          <w:szCs w:val="28"/>
        </w:rPr>
        <w:t>Таблиця 11.</w:t>
      </w:r>
      <w:r>
        <w:rPr>
          <w:rFonts w:ascii="Times New Roman" w:eastAsia="Arial" w:hAnsi="Times New Roman"/>
          <w:sz w:val="28"/>
          <w:szCs w:val="28"/>
        </w:rPr>
        <w:t xml:space="preserve"> Джерела фінансування інфраструктурних проєктів</w:t>
      </w:r>
    </w:p>
    <w:tbl>
      <w:tblPr>
        <w:tblW w:w="9360" w:type="dxa"/>
        <w:tblLayout w:type="fixed"/>
        <w:tblCellMar>
          <w:top w:w="60" w:type="dxa"/>
          <w:left w:w="100" w:type="dxa"/>
          <w:bottom w:w="60" w:type="dxa"/>
          <w:right w:w="100" w:type="dxa"/>
        </w:tblCellMar>
        <w:tblLook w:val="0000" w:firstRow="0" w:lastRow="0" w:firstColumn="0" w:lastColumn="0" w:noHBand="0" w:noVBand="0"/>
      </w:tblPr>
      <w:tblGrid>
        <w:gridCol w:w="2554"/>
        <w:gridCol w:w="2158"/>
        <w:gridCol w:w="2291"/>
        <w:gridCol w:w="2357"/>
      </w:tblGrid>
      <w:tr w:rsidR="00227FEF">
        <w:tc>
          <w:tcPr>
            <w:tcW w:w="255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t>Джерело</w:t>
            </w:r>
          </w:p>
        </w:tc>
        <w:tc>
          <w:tcPr>
            <w:tcW w:w="215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t>Обсяг / тип</w:t>
            </w:r>
          </w:p>
        </w:tc>
        <w:tc>
          <w:tcPr>
            <w:tcW w:w="229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t>Напрями використання</w:t>
            </w:r>
          </w:p>
        </w:tc>
        <w:tc>
          <w:tcPr>
            <w:tcW w:w="235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27FEF" w:rsidRDefault="00494B9D">
            <w:pPr>
              <w:jc w:val="center"/>
              <w:rPr>
                <w:rFonts w:ascii="Times New Roman" w:hAnsi="Times New Roman"/>
                <w:color w:val="000000"/>
                <w:sz w:val="28"/>
                <w:szCs w:val="28"/>
              </w:rPr>
            </w:pPr>
            <w:r>
              <w:rPr>
                <w:rFonts w:ascii="Times New Roman" w:eastAsia="Arial" w:hAnsi="Times New Roman"/>
                <w:b/>
                <w:bCs/>
                <w:color w:val="000000"/>
                <w:sz w:val="28"/>
                <w:szCs w:val="28"/>
              </w:rPr>
              <w:t>Примітка</w:t>
            </w:r>
          </w:p>
        </w:tc>
      </w:tr>
      <w:tr w:rsidR="00227FEF" w:rsidRPr="00F155F9">
        <w:tc>
          <w:tcPr>
            <w:tcW w:w="2554"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Власні доходи місцевого бюджету</w:t>
            </w:r>
          </w:p>
        </w:tc>
        <w:tc>
          <w:tcPr>
            <w:tcW w:w="2158"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~15 млн грн/рік (2020)</w:t>
            </w:r>
          </w:p>
        </w:tc>
        <w:tc>
          <w:tcPr>
            <w:tcW w:w="2291"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Поточне утримання, дрібні ремонти</w:t>
            </w:r>
          </w:p>
        </w:tc>
        <w:tc>
          <w:tcPr>
            <w:tcW w:w="2357"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Зросте в 4–5 разів з ВЕС</w:t>
            </w:r>
          </w:p>
        </w:tc>
      </w:tr>
      <w:tr w:rsidR="00227FEF">
        <w:tc>
          <w:tcPr>
            <w:tcW w:w="2554"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Надходження від ВЕС</w:t>
            </w:r>
          </w:p>
        </w:tc>
        <w:tc>
          <w:tcPr>
            <w:tcW w:w="2158"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~50 млн грн/рік (прогноз)</w:t>
            </w:r>
          </w:p>
        </w:tc>
        <w:tc>
          <w:tcPr>
            <w:tcW w:w="2291"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Капітальні інвестиції, соціальна сфера</w:t>
            </w:r>
          </w:p>
        </w:tc>
        <w:tc>
          <w:tcPr>
            <w:tcW w:w="2357"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Після введення в експлуатацію</w:t>
            </w:r>
          </w:p>
        </w:tc>
      </w:tr>
      <w:tr w:rsidR="00227FEF">
        <w:tc>
          <w:tcPr>
            <w:tcW w:w="2554"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ДФРР</w:t>
            </w:r>
          </w:p>
        </w:tc>
        <w:tc>
          <w:tcPr>
            <w:tcW w:w="2158"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Конкурсний</w:t>
            </w:r>
          </w:p>
        </w:tc>
        <w:tc>
          <w:tcPr>
            <w:tcW w:w="2291"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Дороги, водопостачання, соц. об’єкти</w:t>
            </w:r>
          </w:p>
        </w:tc>
        <w:tc>
          <w:tcPr>
            <w:tcW w:w="2357"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До 80 % співфінансування</w:t>
            </w:r>
          </w:p>
        </w:tc>
      </w:tr>
      <w:tr w:rsidR="00227FEF">
        <w:tc>
          <w:tcPr>
            <w:tcW w:w="2554"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Програма «Велике будівництво»</w:t>
            </w:r>
          </w:p>
        </w:tc>
        <w:tc>
          <w:tcPr>
            <w:tcW w:w="2158"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Державна</w:t>
            </w:r>
          </w:p>
        </w:tc>
        <w:tc>
          <w:tcPr>
            <w:tcW w:w="2291"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Дороги обласного значення</w:t>
            </w:r>
          </w:p>
        </w:tc>
        <w:tc>
          <w:tcPr>
            <w:tcW w:w="2357"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За подання обл. адміністрації</w:t>
            </w:r>
          </w:p>
        </w:tc>
      </w:tr>
      <w:tr w:rsidR="00227FEF">
        <w:tc>
          <w:tcPr>
            <w:tcW w:w="2554"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Гранти ЄС (ENI CBC)</w:t>
            </w:r>
          </w:p>
        </w:tc>
        <w:tc>
          <w:tcPr>
            <w:tcW w:w="2158"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Грантовий</w:t>
            </w:r>
          </w:p>
        </w:tc>
        <w:tc>
          <w:tcPr>
            <w:tcW w:w="2291"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Транскордонне співробітництво з Словаччиною, Угорщиною</w:t>
            </w:r>
          </w:p>
        </w:tc>
        <w:tc>
          <w:tcPr>
            <w:tcW w:w="2357"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Потребує проєктної спроможності</w:t>
            </w:r>
          </w:p>
        </w:tc>
      </w:tr>
      <w:tr w:rsidR="00227FEF">
        <w:tc>
          <w:tcPr>
            <w:tcW w:w="2554"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USAID, GIZ, ЮНІСЕФ</w:t>
            </w:r>
          </w:p>
        </w:tc>
        <w:tc>
          <w:tcPr>
            <w:tcW w:w="2158"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Грантовий</w:t>
            </w:r>
          </w:p>
        </w:tc>
        <w:tc>
          <w:tcPr>
            <w:tcW w:w="2291"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Енергоеф., освіта, охорона здоров’я</w:t>
            </w:r>
          </w:p>
        </w:tc>
        <w:tc>
          <w:tcPr>
            <w:tcW w:w="2357"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Діюча кампанія ЮНІСЕФ</w:t>
            </w:r>
          </w:p>
        </w:tc>
      </w:tr>
      <w:tr w:rsidR="00227FEF">
        <w:tc>
          <w:tcPr>
            <w:tcW w:w="2554"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lastRenderedPageBreak/>
              <w:t>Приватні інвестиції</w:t>
            </w:r>
          </w:p>
        </w:tc>
        <w:tc>
          <w:tcPr>
            <w:tcW w:w="2158"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€170–220 млн (ВЕС)</w:t>
            </w:r>
          </w:p>
        </w:tc>
        <w:tc>
          <w:tcPr>
            <w:tcW w:w="2291"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Енергетика, туризм, переробка</w:t>
            </w:r>
          </w:p>
        </w:tc>
        <w:tc>
          <w:tcPr>
            <w:tcW w:w="2357"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ВЕС — флагманський проєкт</w:t>
            </w:r>
          </w:p>
        </w:tc>
      </w:tr>
      <w:tr w:rsidR="00227FEF">
        <w:tc>
          <w:tcPr>
            <w:tcW w:w="2554"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Партиципаторний бюджет</w:t>
            </w:r>
          </w:p>
        </w:tc>
        <w:tc>
          <w:tcPr>
            <w:tcW w:w="2158"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Невеликий обсяг</w:t>
            </w:r>
          </w:p>
        </w:tc>
        <w:tc>
          <w:tcPr>
            <w:tcW w:w="2291"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Лок. ініціативи: освітлення, впорядкування</w:t>
            </w:r>
          </w:p>
        </w:tc>
        <w:tc>
          <w:tcPr>
            <w:tcW w:w="2357"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Залучення громадян</w:t>
            </w:r>
          </w:p>
        </w:tc>
      </w:tr>
      <w:tr w:rsidR="00227FEF">
        <w:tc>
          <w:tcPr>
            <w:tcW w:w="2554"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Субвенції на СЕР</w:t>
            </w:r>
          </w:p>
        </w:tc>
        <w:tc>
          <w:tcPr>
            <w:tcW w:w="2158"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Державна</w:t>
            </w:r>
          </w:p>
        </w:tc>
        <w:tc>
          <w:tcPr>
            <w:tcW w:w="2291"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lang w:val="ru-RU"/>
              </w:rPr>
            </w:pPr>
            <w:r>
              <w:rPr>
                <w:rFonts w:ascii="Times New Roman" w:eastAsia="Arial" w:hAnsi="Times New Roman"/>
                <w:color w:val="000000"/>
                <w:sz w:val="28"/>
                <w:szCs w:val="28"/>
                <w:lang w:val="ru-RU"/>
              </w:rPr>
              <w:t>Соц.-ек. розвиток гірських територій</w:t>
            </w:r>
          </w:p>
        </w:tc>
        <w:tc>
          <w:tcPr>
            <w:tcW w:w="2357"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За заявками</w:t>
            </w:r>
          </w:p>
        </w:tc>
      </w:tr>
      <w:tr w:rsidR="00227FEF">
        <w:tc>
          <w:tcPr>
            <w:tcW w:w="2554"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b/>
                <w:bCs/>
                <w:color w:val="000000"/>
                <w:sz w:val="28"/>
                <w:szCs w:val="28"/>
              </w:rPr>
              <w:t>Обласні програми</w:t>
            </w:r>
          </w:p>
        </w:tc>
        <w:tc>
          <w:tcPr>
            <w:tcW w:w="2158"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jc w:val="center"/>
              <w:rPr>
                <w:rFonts w:ascii="Times New Roman" w:hAnsi="Times New Roman"/>
                <w:color w:val="000000"/>
                <w:sz w:val="28"/>
                <w:szCs w:val="28"/>
              </w:rPr>
            </w:pPr>
            <w:r>
              <w:rPr>
                <w:rFonts w:ascii="Times New Roman" w:eastAsia="Arial" w:hAnsi="Times New Roman"/>
                <w:color w:val="000000"/>
                <w:sz w:val="28"/>
                <w:szCs w:val="28"/>
              </w:rPr>
              <w:t>Обласний бюджет</w:t>
            </w:r>
          </w:p>
        </w:tc>
        <w:tc>
          <w:tcPr>
            <w:tcW w:w="2291"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Дороги, водопостачання, протипаводк. захист</w:t>
            </w:r>
          </w:p>
        </w:tc>
        <w:tc>
          <w:tcPr>
            <w:tcW w:w="2357" w:type="dxa"/>
            <w:tcBorders>
              <w:top w:val="single" w:sz="8" w:space="0" w:color="000000"/>
              <w:left w:val="single" w:sz="8" w:space="0" w:color="000000"/>
              <w:bottom w:val="single" w:sz="8" w:space="0" w:color="000000"/>
              <w:right w:val="single" w:sz="8" w:space="0" w:color="000000"/>
            </w:tcBorders>
            <w:shd w:val="clear" w:color="auto" w:fill="FFFFFF"/>
          </w:tcPr>
          <w:p w:rsidR="00227FEF" w:rsidRDefault="00494B9D">
            <w:pPr>
              <w:rPr>
                <w:rFonts w:ascii="Times New Roman" w:hAnsi="Times New Roman"/>
                <w:color w:val="000000"/>
                <w:sz w:val="28"/>
                <w:szCs w:val="28"/>
              </w:rPr>
            </w:pPr>
            <w:r>
              <w:rPr>
                <w:rFonts w:ascii="Times New Roman" w:eastAsia="Arial" w:hAnsi="Times New Roman"/>
                <w:color w:val="000000"/>
                <w:sz w:val="28"/>
                <w:szCs w:val="28"/>
              </w:rPr>
              <w:t>Програма «Питна вода Закарпаття»</w:t>
            </w:r>
          </w:p>
        </w:tc>
      </w:tr>
    </w:tbl>
    <w:p w:rsidR="00227FEF" w:rsidRDefault="00494B9D">
      <w:pPr>
        <w:spacing w:before="120" w:after="120" w:line="276" w:lineRule="auto"/>
        <w:ind w:firstLine="708"/>
        <w:jc w:val="both"/>
        <w:rPr>
          <w:rFonts w:ascii="Times New Roman" w:hAnsi="Times New Roman"/>
          <w:sz w:val="28"/>
          <w:szCs w:val="28"/>
        </w:rPr>
      </w:pPr>
      <w:r>
        <w:rPr>
          <w:rFonts w:ascii="Times New Roman" w:eastAsia="Arial" w:hAnsi="Times New Roman"/>
          <w:sz w:val="28"/>
          <w:szCs w:val="28"/>
        </w:rPr>
        <w:t>Ключовою умовою ефективної реалізації інфраструктурних проєктів є розбудова проєктної спроможності громади:</w:t>
      </w:r>
    </w:p>
    <w:p w:rsidR="00227FEF" w:rsidRDefault="00494B9D">
      <w:pPr>
        <w:numPr>
          <w:ilvl w:val="0"/>
          <w:numId w:val="2"/>
        </w:numPr>
        <w:spacing w:before="60" w:after="60" w:line="276" w:lineRule="auto"/>
        <w:jc w:val="both"/>
        <w:rPr>
          <w:rFonts w:ascii="Times New Roman" w:eastAsia="Arial" w:hAnsi="Times New Roman"/>
          <w:sz w:val="28"/>
          <w:szCs w:val="28"/>
          <w:lang w:val="uk-UA" w:eastAsia="uk-UA"/>
        </w:rPr>
      </w:pPr>
      <w:r>
        <w:rPr>
          <w:rFonts w:ascii="Times New Roman" w:eastAsia="Arial" w:hAnsi="Times New Roman"/>
          <w:sz w:val="28"/>
          <w:szCs w:val="28"/>
          <w:lang w:val="uk-UA" w:eastAsia="uk-UA"/>
        </w:rPr>
        <w:t>Формування бази стратегічних проєктів з готовою ПКД для оперативного подання на конкурси ДФРР та грантові програми.</w:t>
      </w:r>
    </w:p>
    <w:p w:rsidR="00227FEF" w:rsidRDefault="00494B9D">
      <w:pPr>
        <w:numPr>
          <w:ilvl w:val="0"/>
          <w:numId w:val="2"/>
        </w:numPr>
        <w:spacing w:before="60" w:after="60" w:line="276" w:lineRule="auto"/>
        <w:jc w:val="both"/>
        <w:rPr>
          <w:rFonts w:ascii="Times New Roman" w:eastAsia="Arial" w:hAnsi="Times New Roman"/>
          <w:sz w:val="28"/>
          <w:szCs w:val="28"/>
          <w:lang w:val="uk-UA" w:eastAsia="uk-UA"/>
        </w:rPr>
      </w:pPr>
      <w:r>
        <w:rPr>
          <w:rFonts w:ascii="Times New Roman" w:eastAsia="Arial" w:hAnsi="Times New Roman"/>
          <w:sz w:val="28"/>
          <w:szCs w:val="28"/>
          <w:lang w:val="uk-UA" w:eastAsia="uk-UA"/>
        </w:rPr>
        <w:t>Навчання персоналу сільської ради грантовому менеджменту, написанню проєктних заявок, управлінню проєктами.</w:t>
      </w:r>
    </w:p>
    <w:p w:rsidR="00227FEF" w:rsidRDefault="00494B9D">
      <w:pPr>
        <w:numPr>
          <w:ilvl w:val="0"/>
          <w:numId w:val="2"/>
        </w:numPr>
        <w:spacing w:before="60" w:after="60" w:line="276" w:lineRule="auto"/>
        <w:jc w:val="both"/>
        <w:rPr>
          <w:rFonts w:ascii="Times New Roman" w:eastAsia="Arial" w:hAnsi="Times New Roman"/>
          <w:sz w:val="28"/>
          <w:szCs w:val="28"/>
          <w:lang w:val="uk-UA" w:eastAsia="uk-UA"/>
        </w:rPr>
      </w:pPr>
      <w:r>
        <w:rPr>
          <w:rFonts w:ascii="Times New Roman" w:eastAsia="Arial" w:hAnsi="Times New Roman"/>
          <w:sz w:val="28"/>
          <w:szCs w:val="28"/>
          <w:lang w:val="uk-UA" w:eastAsia="uk-UA"/>
        </w:rPr>
        <w:t>Активна участь у програмах транскордонного співробітництва зі Словаччиною та Угорщиною (ENI CBC та наступні програми).</w:t>
      </w:r>
    </w:p>
    <w:p w:rsidR="00227FEF" w:rsidRDefault="00494B9D">
      <w:pPr>
        <w:numPr>
          <w:ilvl w:val="0"/>
          <w:numId w:val="2"/>
        </w:numPr>
        <w:spacing w:before="60" w:after="60" w:line="276" w:lineRule="auto"/>
        <w:jc w:val="both"/>
        <w:rPr>
          <w:rFonts w:ascii="Times New Roman" w:eastAsia="Arial" w:hAnsi="Times New Roman"/>
          <w:sz w:val="28"/>
          <w:szCs w:val="28"/>
          <w:lang w:val="uk-UA" w:eastAsia="uk-UA"/>
        </w:rPr>
      </w:pPr>
      <w:r>
        <w:rPr>
          <w:rFonts w:ascii="Times New Roman" w:eastAsia="Arial" w:hAnsi="Times New Roman"/>
          <w:sz w:val="28"/>
          <w:szCs w:val="28"/>
          <w:lang w:val="uk-UA" w:eastAsia="uk-UA"/>
        </w:rPr>
        <w:t>Налагодження системного діалогу з обласною та районною владою щодо включення об’єктів громади до обласних програм.</w:t>
      </w:r>
    </w:p>
    <w:p w:rsidR="00227FEF" w:rsidRDefault="00494B9D">
      <w:pPr>
        <w:numPr>
          <w:ilvl w:val="0"/>
          <w:numId w:val="2"/>
        </w:numPr>
        <w:spacing w:before="60" w:after="60" w:line="276" w:lineRule="auto"/>
        <w:jc w:val="both"/>
        <w:rPr>
          <w:rFonts w:ascii="Times New Roman" w:eastAsia="Arial" w:hAnsi="Times New Roman"/>
          <w:sz w:val="28"/>
          <w:szCs w:val="28"/>
          <w:lang w:val="uk-UA" w:eastAsia="uk-UA"/>
        </w:rPr>
      </w:pPr>
      <w:r>
        <w:rPr>
          <w:rFonts w:ascii="Times New Roman" w:eastAsia="Arial" w:hAnsi="Times New Roman"/>
          <w:sz w:val="28"/>
          <w:szCs w:val="28"/>
          <w:lang w:val="uk-UA" w:eastAsia="uk-UA"/>
        </w:rPr>
        <w:t>Залучення міжнародних консультантів та грантових менеджерів для підготовки проєктних заявок.</w:t>
      </w:r>
    </w:p>
    <w:p w:rsidR="00227FEF" w:rsidRDefault="00494B9D">
      <w:pPr>
        <w:numPr>
          <w:ilvl w:val="0"/>
          <w:numId w:val="2"/>
        </w:numPr>
        <w:spacing w:before="60" w:after="60" w:line="276" w:lineRule="auto"/>
        <w:jc w:val="both"/>
        <w:rPr>
          <w:rFonts w:ascii="Times New Roman" w:eastAsia="Arial" w:hAnsi="Times New Roman"/>
          <w:sz w:val="28"/>
          <w:szCs w:val="28"/>
          <w:lang w:val="uk-UA" w:eastAsia="uk-UA"/>
        </w:rPr>
      </w:pPr>
      <w:r>
        <w:rPr>
          <w:rFonts w:ascii="Times New Roman" w:eastAsia="Arial" w:hAnsi="Times New Roman"/>
          <w:sz w:val="28"/>
          <w:szCs w:val="28"/>
          <w:lang w:val="uk-UA" w:eastAsia="uk-UA"/>
        </w:rPr>
        <w:t>Використання механізмів партиципаторного бюджету для залучення мешканців до вирішення локальних інфраструктурних проблем.</w:t>
      </w:r>
    </w:p>
    <w:p w:rsidR="00227FEF" w:rsidRDefault="00494B9D">
      <w:pPr>
        <w:spacing w:before="120" w:after="120" w:line="276" w:lineRule="auto"/>
        <w:ind w:firstLine="708"/>
        <w:outlineLvl w:val="1"/>
        <w:rPr>
          <w:rFonts w:ascii="Times New Roman" w:eastAsia="Arial" w:hAnsi="Times New Roman"/>
          <w:b/>
          <w:bCs/>
          <w:sz w:val="28"/>
          <w:szCs w:val="28"/>
          <w:lang w:val="uk-UA" w:eastAsia="uk-UA"/>
        </w:rPr>
      </w:pPr>
      <w:r>
        <w:rPr>
          <w:rFonts w:ascii="Times New Roman" w:eastAsia="Arial" w:hAnsi="Times New Roman"/>
          <w:b/>
          <w:bCs/>
          <w:sz w:val="28"/>
          <w:szCs w:val="28"/>
          <w:lang w:val="uk-UA" w:eastAsia="uk-UA"/>
        </w:rPr>
        <w:t>11. Очікувані результати</w:t>
      </w:r>
    </w:p>
    <w:p w:rsidR="00227FEF" w:rsidRDefault="00494B9D">
      <w:pPr>
        <w:spacing w:before="120" w:after="120" w:line="276" w:lineRule="auto"/>
        <w:ind w:firstLine="708"/>
        <w:jc w:val="both"/>
        <w:rPr>
          <w:rFonts w:ascii="Times New Roman" w:hAnsi="Times New Roman"/>
          <w:sz w:val="28"/>
          <w:szCs w:val="28"/>
          <w:lang w:val="ru-RU"/>
        </w:rPr>
      </w:pPr>
      <w:r>
        <w:rPr>
          <w:rFonts w:ascii="Times New Roman" w:eastAsia="Arial" w:hAnsi="Times New Roman"/>
          <w:sz w:val="28"/>
          <w:szCs w:val="28"/>
          <w:lang w:val="ru-RU"/>
        </w:rPr>
        <w:t>Системний розвиток інфраструктури Тур’є-Реметівської територіальної громади дасть можливість досягти таких стратегічних результатів:</w:t>
      </w:r>
    </w:p>
    <w:p w:rsidR="00227FEF" w:rsidRDefault="00494B9D">
      <w:pPr>
        <w:numPr>
          <w:ilvl w:val="0"/>
          <w:numId w:val="24"/>
        </w:numPr>
        <w:spacing w:before="80" w:after="80" w:line="276" w:lineRule="auto"/>
        <w:jc w:val="both"/>
        <w:rPr>
          <w:rFonts w:ascii="Times New Roman" w:eastAsia="Arial" w:hAnsi="Times New Roman"/>
          <w:sz w:val="28"/>
          <w:szCs w:val="28"/>
          <w:lang w:val="uk-UA" w:eastAsia="uk-UA"/>
        </w:rPr>
      </w:pPr>
      <w:r>
        <w:rPr>
          <w:rFonts w:ascii="Times New Roman" w:eastAsia="Arial" w:hAnsi="Times New Roman"/>
          <w:b/>
          <w:bCs/>
          <w:sz w:val="28"/>
          <w:szCs w:val="28"/>
          <w:lang w:val="uk-UA" w:eastAsia="uk-UA"/>
        </w:rPr>
        <w:t xml:space="preserve">Підвищення якості життя </w:t>
      </w:r>
      <w:r>
        <w:rPr>
          <w:rFonts w:ascii="Times New Roman" w:eastAsia="Arial" w:hAnsi="Times New Roman"/>
          <w:sz w:val="28"/>
          <w:szCs w:val="28"/>
          <w:lang w:val="uk-UA" w:eastAsia="uk-UA"/>
        </w:rPr>
        <w:t>населення усіх 17 населених пунктів через забезпечення базовими послугами (якісна питна вода, дороги з твердим покриттям, стабільний зв’язок та Інтернет, сучасна медицина та освіта).</w:t>
      </w:r>
    </w:p>
    <w:p w:rsidR="00227FEF" w:rsidRDefault="00494B9D">
      <w:pPr>
        <w:numPr>
          <w:ilvl w:val="0"/>
          <w:numId w:val="5"/>
        </w:numPr>
        <w:spacing w:before="80" w:after="80" w:line="276" w:lineRule="auto"/>
        <w:jc w:val="both"/>
        <w:rPr>
          <w:rFonts w:ascii="Times New Roman" w:eastAsia="Arial" w:hAnsi="Times New Roman"/>
          <w:sz w:val="28"/>
          <w:szCs w:val="28"/>
          <w:lang w:val="uk-UA" w:eastAsia="uk-UA"/>
        </w:rPr>
      </w:pPr>
      <w:r>
        <w:rPr>
          <w:rFonts w:ascii="Times New Roman" w:eastAsia="Arial" w:hAnsi="Times New Roman"/>
          <w:b/>
          <w:bCs/>
          <w:sz w:val="28"/>
          <w:szCs w:val="28"/>
          <w:lang w:val="uk-UA" w:eastAsia="uk-UA"/>
        </w:rPr>
        <w:lastRenderedPageBreak/>
        <w:t xml:space="preserve">Зменшення міграційного відтоку </w:t>
      </w:r>
      <w:r>
        <w:rPr>
          <w:rFonts w:ascii="Times New Roman" w:eastAsia="Arial" w:hAnsi="Times New Roman"/>
          <w:sz w:val="28"/>
          <w:szCs w:val="28"/>
          <w:lang w:val="uk-UA" w:eastAsia="uk-UA"/>
        </w:rPr>
        <w:t>населення, зокрема молоді, завдяки створенню комфортних умов проживання, появі нових робочих місць у сфері відновлюваної енергетики, туризму та сервісу, можливості дистанційної роботи.</w:t>
      </w:r>
    </w:p>
    <w:p w:rsidR="00227FEF" w:rsidRDefault="00494B9D">
      <w:pPr>
        <w:numPr>
          <w:ilvl w:val="0"/>
          <w:numId w:val="5"/>
        </w:numPr>
        <w:spacing w:before="80" w:after="80" w:line="276" w:lineRule="auto"/>
        <w:jc w:val="both"/>
        <w:rPr>
          <w:rFonts w:ascii="Times New Roman" w:eastAsia="Arial" w:hAnsi="Times New Roman"/>
          <w:sz w:val="28"/>
          <w:szCs w:val="28"/>
          <w:lang w:val="uk-UA" w:eastAsia="uk-UA"/>
        </w:rPr>
      </w:pPr>
      <w:r>
        <w:rPr>
          <w:rFonts w:ascii="Times New Roman" w:eastAsia="Arial" w:hAnsi="Times New Roman"/>
          <w:b/>
          <w:bCs/>
          <w:sz w:val="28"/>
          <w:szCs w:val="28"/>
          <w:lang w:val="uk-UA" w:eastAsia="uk-UA"/>
        </w:rPr>
        <w:t xml:space="preserve">Кратне збільшення доходів бюджету </w:t>
      </w:r>
      <w:r>
        <w:rPr>
          <w:rFonts w:ascii="Times New Roman" w:eastAsia="Arial" w:hAnsi="Times New Roman"/>
          <w:sz w:val="28"/>
          <w:szCs w:val="28"/>
          <w:lang w:val="uk-UA" w:eastAsia="uk-UA"/>
        </w:rPr>
        <w:t>за рахунок надходжень від ВЕС «Полонина Руна» (~50 млн грн/рік) та зростання податкової бази від розвитку підприємництва, туризму, сфери послуг.</w:t>
      </w:r>
    </w:p>
    <w:p w:rsidR="00227FEF" w:rsidRDefault="00494B9D">
      <w:pPr>
        <w:numPr>
          <w:ilvl w:val="0"/>
          <w:numId w:val="5"/>
        </w:numPr>
        <w:spacing w:before="80" w:after="80" w:line="276" w:lineRule="auto"/>
        <w:jc w:val="both"/>
        <w:rPr>
          <w:rFonts w:ascii="Times New Roman" w:eastAsia="Arial" w:hAnsi="Times New Roman"/>
          <w:sz w:val="28"/>
          <w:szCs w:val="28"/>
          <w:lang w:val="uk-UA" w:eastAsia="uk-UA"/>
        </w:rPr>
      </w:pPr>
      <w:r>
        <w:rPr>
          <w:rFonts w:ascii="Times New Roman" w:eastAsia="Arial" w:hAnsi="Times New Roman"/>
          <w:b/>
          <w:bCs/>
          <w:sz w:val="28"/>
          <w:szCs w:val="28"/>
          <w:lang w:val="uk-UA" w:eastAsia="uk-UA"/>
        </w:rPr>
        <w:t xml:space="preserve">Суттєве підвищення туристичної привабливості: </w:t>
      </w:r>
      <w:r>
        <w:rPr>
          <w:rFonts w:ascii="Times New Roman" w:eastAsia="Arial" w:hAnsi="Times New Roman"/>
          <w:sz w:val="28"/>
          <w:szCs w:val="28"/>
          <w:lang w:val="uk-UA" w:eastAsia="uk-UA"/>
        </w:rPr>
        <w:t>покращення доступності курорту Лумшори (капремонт дороги 11,34 км), розвиток нових маршрутів, створення сучасної інфраструктури гостинності.</w:t>
      </w:r>
    </w:p>
    <w:p w:rsidR="00227FEF" w:rsidRDefault="00494B9D">
      <w:pPr>
        <w:numPr>
          <w:ilvl w:val="0"/>
          <w:numId w:val="5"/>
        </w:numPr>
        <w:spacing w:before="80" w:after="80" w:line="276" w:lineRule="auto"/>
        <w:jc w:val="both"/>
        <w:rPr>
          <w:rFonts w:ascii="Times New Roman" w:eastAsia="Arial" w:hAnsi="Times New Roman"/>
          <w:sz w:val="28"/>
          <w:szCs w:val="28"/>
          <w:lang w:val="uk-UA" w:eastAsia="uk-UA"/>
        </w:rPr>
      </w:pPr>
      <w:r>
        <w:rPr>
          <w:rFonts w:ascii="Times New Roman" w:eastAsia="Arial" w:hAnsi="Times New Roman"/>
          <w:b/>
          <w:bCs/>
          <w:sz w:val="28"/>
          <w:szCs w:val="28"/>
          <w:lang w:val="uk-UA" w:eastAsia="uk-UA"/>
        </w:rPr>
        <w:t xml:space="preserve">Зміцнення енергетичної стійкості </w:t>
      </w:r>
      <w:r>
        <w:rPr>
          <w:rFonts w:ascii="Times New Roman" w:eastAsia="Arial" w:hAnsi="Times New Roman"/>
          <w:sz w:val="28"/>
          <w:szCs w:val="28"/>
          <w:lang w:val="uk-UA" w:eastAsia="uk-UA"/>
        </w:rPr>
        <w:t>та безпеки громади в умовах воєнних ризиків за рахунок децентралізованої генерації (ВЕС 156 МВт, ~480 ГВт·год/рік).</w:t>
      </w:r>
    </w:p>
    <w:p w:rsidR="00227FEF" w:rsidRDefault="00494B9D">
      <w:pPr>
        <w:numPr>
          <w:ilvl w:val="0"/>
          <w:numId w:val="5"/>
        </w:numPr>
        <w:spacing w:before="80" w:after="80" w:line="276" w:lineRule="auto"/>
        <w:jc w:val="both"/>
        <w:rPr>
          <w:rFonts w:ascii="Times New Roman" w:eastAsia="Arial" w:hAnsi="Times New Roman"/>
          <w:sz w:val="28"/>
          <w:szCs w:val="28"/>
          <w:lang w:val="uk-UA" w:eastAsia="uk-UA"/>
        </w:rPr>
      </w:pPr>
      <w:r>
        <w:rPr>
          <w:rFonts w:ascii="Times New Roman" w:eastAsia="Arial" w:hAnsi="Times New Roman"/>
          <w:b/>
          <w:bCs/>
          <w:sz w:val="28"/>
          <w:szCs w:val="28"/>
          <w:lang w:val="uk-UA" w:eastAsia="uk-UA"/>
        </w:rPr>
        <w:t xml:space="preserve">Покращення екологічної ситуації </w:t>
      </w:r>
      <w:r>
        <w:rPr>
          <w:rFonts w:ascii="Times New Roman" w:eastAsia="Arial" w:hAnsi="Times New Roman"/>
          <w:sz w:val="28"/>
          <w:szCs w:val="28"/>
          <w:lang w:val="uk-UA" w:eastAsia="uk-UA"/>
        </w:rPr>
        <w:t>через впровадження очисних споруд, упорядкування системи поводження з відходами, ліквідацію стихійних звалищ та розвиток зеленої енергетики.</w:t>
      </w:r>
    </w:p>
    <w:p w:rsidR="00227FEF" w:rsidRDefault="00494B9D">
      <w:pPr>
        <w:numPr>
          <w:ilvl w:val="0"/>
          <w:numId w:val="5"/>
        </w:numPr>
        <w:spacing w:before="80" w:after="80" w:line="276" w:lineRule="auto"/>
        <w:jc w:val="both"/>
        <w:rPr>
          <w:rFonts w:ascii="Times New Roman" w:eastAsia="Arial" w:hAnsi="Times New Roman"/>
          <w:sz w:val="28"/>
          <w:szCs w:val="28"/>
          <w:lang w:val="uk-UA" w:eastAsia="uk-UA"/>
        </w:rPr>
      </w:pPr>
      <w:r>
        <w:rPr>
          <w:rFonts w:ascii="Times New Roman" w:eastAsia="Arial" w:hAnsi="Times New Roman"/>
          <w:b/>
          <w:bCs/>
          <w:sz w:val="28"/>
          <w:szCs w:val="28"/>
          <w:lang w:val="uk-UA" w:eastAsia="uk-UA"/>
        </w:rPr>
        <w:t xml:space="preserve">Підвищення безпеки населення </w:t>
      </w:r>
      <w:r>
        <w:rPr>
          <w:rFonts w:ascii="Times New Roman" w:eastAsia="Arial" w:hAnsi="Times New Roman"/>
          <w:sz w:val="28"/>
          <w:szCs w:val="28"/>
          <w:lang w:val="uk-UA" w:eastAsia="uk-UA"/>
        </w:rPr>
        <w:t>через берегоукріплення, протипаводковий захист, покращення стану доріг та мостів, впровадження систем раннього попередження.</w:t>
      </w:r>
    </w:p>
    <w:p w:rsidR="00227FEF" w:rsidRDefault="00494B9D">
      <w:pPr>
        <w:numPr>
          <w:ilvl w:val="0"/>
          <w:numId w:val="5"/>
        </w:numPr>
        <w:spacing w:before="80" w:after="80" w:line="276" w:lineRule="auto"/>
        <w:jc w:val="both"/>
        <w:rPr>
          <w:rFonts w:ascii="Times New Roman" w:eastAsia="Arial" w:hAnsi="Times New Roman"/>
          <w:sz w:val="28"/>
          <w:szCs w:val="28"/>
          <w:lang w:val="uk-UA" w:eastAsia="uk-UA"/>
        </w:rPr>
      </w:pPr>
      <w:r>
        <w:rPr>
          <w:rFonts w:ascii="Times New Roman" w:eastAsia="Arial" w:hAnsi="Times New Roman"/>
          <w:b/>
          <w:bCs/>
          <w:sz w:val="28"/>
          <w:szCs w:val="28"/>
          <w:lang w:val="uk-UA" w:eastAsia="uk-UA"/>
        </w:rPr>
        <w:t xml:space="preserve">Інтеграція громади в європейський простір </w:t>
      </w:r>
      <w:r>
        <w:rPr>
          <w:rFonts w:ascii="Times New Roman" w:eastAsia="Arial" w:hAnsi="Times New Roman"/>
          <w:sz w:val="28"/>
          <w:szCs w:val="28"/>
          <w:lang w:val="uk-UA" w:eastAsia="uk-UA"/>
        </w:rPr>
        <w:t>через участь у програмах транскордонного співробітництва, дотримання стандартів сталого розвитку та досвід реалізації масштабного інвестиційного проєкту зеленої енергетики.</w:t>
      </w:r>
    </w:p>
    <w:p w:rsidR="00227FEF" w:rsidRDefault="00494B9D">
      <w:pPr>
        <w:spacing w:before="120" w:after="120" w:line="276" w:lineRule="auto"/>
        <w:ind w:firstLine="708"/>
        <w:jc w:val="both"/>
        <w:rPr>
          <w:rFonts w:ascii="Times New Roman" w:hAnsi="Times New Roman"/>
          <w:sz w:val="28"/>
          <w:szCs w:val="28"/>
          <w:lang w:val="uk-UA"/>
        </w:rPr>
      </w:pPr>
      <w:r>
        <w:rPr>
          <w:rFonts w:ascii="Times New Roman" w:eastAsia="Arial" w:hAnsi="Times New Roman"/>
          <w:sz w:val="28"/>
          <w:szCs w:val="28"/>
          <w:lang w:val="uk-UA"/>
        </w:rPr>
        <w:t>Тур’є-Реметівська громада має унікальну можливість поєднати традиційні переваги гірської території (природні ресурси, рекреаційний потенціал, культурна спадщина, прикордонне розташування) з інноваційними рішеннями (вітроенергетика, цифровізація, телемедицина), створивши модель сталого розвитку гірської громади Закарпаття, що демонструє приклад для всієї держави відповідального поєднання бізнесу та інтересів громади.</w:t>
      </w:r>
    </w:p>
    <w:p w:rsidR="00227FEF" w:rsidRPr="005E48D4" w:rsidRDefault="00494B9D">
      <w:pPr>
        <w:jc w:val="both"/>
        <w:rPr>
          <w:lang w:val="uk-UA"/>
        </w:rPr>
      </w:pPr>
      <w:r>
        <w:rPr>
          <w:rFonts w:ascii="Times New Roman" w:hAnsi="Times New Roman"/>
          <w:b/>
          <w:sz w:val="28"/>
          <w:szCs w:val="28"/>
          <w:lang w:val="uk-UA"/>
        </w:rPr>
        <w:t>2.3 . Містобудівна документація</w:t>
      </w:r>
    </w:p>
    <w:p w:rsidR="00227FEF" w:rsidRDefault="00494B9D">
      <w:pPr>
        <w:jc w:val="both"/>
        <w:rPr>
          <w:rFonts w:ascii="Times New Roman" w:eastAsia="Times New Roman" w:hAnsi="Times New Roman"/>
          <w:b/>
          <w:sz w:val="28"/>
          <w:szCs w:val="28"/>
          <w:lang w:val="uk-UA"/>
        </w:rPr>
      </w:pPr>
      <w:r>
        <w:rPr>
          <w:rFonts w:ascii="Times New Roman" w:eastAsia="Times New Roman" w:hAnsi="Times New Roman"/>
          <w:b/>
          <w:sz w:val="28"/>
          <w:szCs w:val="28"/>
          <w:lang w:val="uk-UA"/>
        </w:rPr>
        <w:t xml:space="preserve"> </w:t>
      </w:r>
    </w:p>
    <w:p w:rsidR="00227FEF" w:rsidRDefault="00494B9D">
      <w:pPr>
        <w:spacing w:line="360" w:lineRule="auto"/>
        <w:jc w:val="both"/>
        <w:rPr>
          <w:rFonts w:ascii="Times New Roman" w:hAnsi="Times New Roman"/>
          <w:sz w:val="28"/>
          <w:szCs w:val="28"/>
          <w:lang w:val="uk-UA"/>
        </w:rPr>
      </w:pPr>
      <w:r>
        <w:rPr>
          <w:rFonts w:ascii="Times New Roman" w:hAnsi="Times New Roman"/>
          <w:sz w:val="28"/>
          <w:szCs w:val="28"/>
          <w:lang w:val="uk-UA"/>
        </w:rPr>
        <w:tab/>
        <w:t xml:space="preserve">Тур’є-Реметівська територіальна громада включає 17 населених пунктів а саме села: Тур’ї Ремети, Турички, Вільшинки, Завбуч, Лумшори, Маюрки, Мокра, Полянська Гута, Порошково, Раково, Свалявка, Туриця, Тур’я Пасіка, Тур’я Поляна, Тур’я-Бистра, Липовець, Лікіцари. </w:t>
      </w:r>
    </w:p>
    <w:p w:rsidR="00227FEF" w:rsidRPr="005E48D4" w:rsidRDefault="00494B9D">
      <w:pPr>
        <w:spacing w:line="360" w:lineRule="auto"/>
        <w:jc w:val="both"/>
        <w:rPr>
          <w:lang w:val="ru-RU"/>
        </w:rPr>
      </w:pPr>
      <w:r>
        <w:rPr>
          <w:rFonts w:ascii="Times New Roman" w:hAnsi="Times New Roman"/>
          <w:sz w:val="28"/>
          <w:szCs w:val="28"/>
          <w:lang w:val="uk-UA"/>
        </w:rPr>
        <w:lastRenderedPageBreak/>
        <w:tab/>
      </w:r>
      <w:r>
        <w:rPr>
          <w:rFonts w:ascii="Times New Roman" w:hAnsi="Times New Roman"/>
          <w:sz w:val="28"/>
          <w:szCs w:val="28"/>
          <w:lang w:val="ru-RU"/>
        </w:rPr>
        <w:t>Загальний стан наявної містобудівної документації населених пунктів громади відображений у таблиці 1.6.1.</w:t>
      </w:r>
    </w:p>
    <w:p w:rsidR="00227FEF" w:rsidRDefault="00494B9D">
      <w:pPr>
        <w:spacing w:line="276" w:lineRule="auto"/>
        <w:jc w:val="center"/>
        <w:rPr>
          <w:rFonts w:ascii="Times New Roman" w:hAnsi="Times New Roman"/>
          <w:sz w:val="28"/>
          <w:szCs w:val="28"/>
          <w:lang w:val="ru-RU"/>
        </w:rPr>
      </w:pPr>
      <w:r>
        <w:rPr>
          <w:rFonts w:ascii="Times New Roman" w:hAnsi="Times New Roman"/>
          <w:sz w:val="28"/>
          <w:szCs w:val="28"/>
          <w:lang w:val="ru-RU"/>
        </w:rPr>
        <w:t>Загальні показники наявної містобудівної документації населених пунктів</w:t>
      </w:r>
    </w:p>
    <w:p w:rsidR="00227FEF" w:rsidRDefault="00494B9D">
      <w:pPr>
        <w:spacing w:line="276" w:lineRule="auto"/>
        <w:jc w:val="center"/>
      </w:pPr>
      <w:r>
        <w:rPr>
          <w:rFonts w:ascii="Times New Roman" w:eastAsia="Times New Roman" w:hAnsi="Times New Roman"/>
          <w:sz w:val="28"/>
          <w:szCs w:val="28"/>
          <w:lang w:val="ru-RU"/>
        </w:rPr>
        <w:t xml:space="preserve"> </w:t>
      </w:r>
      <w:r>
        <w:rPr>
          <w:rFonts w:ascii="Times New Roman" w:hAnsi="Times New Roman"/>
          <w:sz w:val="28"/>
          <w:szCs w:val="28"/>
        </w:rPr>
        <w:t>Тур’є-Реметівської громади</w:t>
      </w:r>
    </w:p>
    <w:p w:rsidR="00227FEF" w:rsidRDefault="00494B9D">
      <w:pPr>
        <w:spacing w:line="360" w:lineRule="auto"/>
        <w:jc w:val="right"/>
      </w:pPr>
      <w:r>
        <w:rPr>
          <w:rFonts w:ascii="Times New Roman" w:hAnsi="Times New Roman"/>
          <w:b/>
          <w:sz w:val="28"/>
          <w:szCs w:val="28"/>
          <w:lang w:val="uk-UA"/>
        </w:rPr>
        <w:t xml:space="preserve">Таблиця </w:t>
      </w:r>
      <w:r>
        <w:t>4</w:t>
      </w:r>
    </w:p>
    <w:tbl>
      <w:tblPr>
        <w:tblW w:w="9493" w:type="dxa"/>
        <w:tblLayout w:type="fixed"/>
        <w:tblLook w:val="0000" w:firstRow="0" w:lastRow="0" w:firstColumn="0" w:lastColumn="0" w:noHBand="0" w:noVBand="0"/>
      </w:tblPr>
      <w:tblGrid>
        <w:gridCol w:w="7083"/>
        <w:gridCol w:w="2410"/>
      </w:tblGrid>
      <w:tr w:rsidR="00227FEF">
        <w:trPr>
          <w:trHeight w:val="397"/>
        </w:trPr>
        <w:tc>
          <w:tcPr>
            <w:tcW w:w="7083" w:type="dxa"/>
            <w:tcBorders>
              <w:top w:val="single" w:sz="4" w:space="0" w:color="000000"/>
              <w:left w:val="single" w:sz="4" w:space="0" w:color="000000"/>
              <w:bottom w:val="single" w:sz="4" w:space="0" w:color="000000"/>
              <w:right w:val="single" w:sz="4" w:space="0" w:color="000000"/>
            </w:tcBorders>
          </w:tcPr>
          <w:p w:rsidR="00227FEF" w:rsidRDefault="00494B9D">
            <w:pPr>
              <w:ind w:right="-617"/>
              <w:jc w:val="center"/>
              <w:rPr>
                <w:rFonts w:ascii="Times New Roman" w:eastAsia="Calibri" w:hAnsi="Times New Roman"/>
                <w:b/>
                <w:sz w:val="28"/>
                <w:szCs w:val="28"/>
              </w:rPr>
            </w:pPr>
            <w:r>
              <w:rPr>
                <w:rFonts w:ascii="Times New Roman" w:eastAsia="Calibri" w:hAnsi="Times New Roman"/>
                <w:b/>
                <w:sz w:val="28"/>
                <w:szCs w:val="28"/>
              </w:rPr>
              <w:t>Показник</w:t>
            </w:r>
          </w:p>
        </w:tc>
        <w:tc>
          <w:tcPr>
            <w:tcW w:w="2410" w:type="dxa"/>
            <w:tcBorders>
              <w:top w:val="single" w:sz="4" w:space="0" w:color="000000"/>
              <w:left w:val="single" w:sz="4" w:space="0" w:color="000000"/>
              <w:bottom w:val="single" w:sz="4" w:space="0" w:color="000000"/>
              <w:right w:val="single" w:sz="4" w:space="0" w:color="000000"/>
            </w:tcBorders>
          </w:tcPr>
          <w:p w:rsidR="00227FEF" w:rsidRDefault="00494B9D">
            <w:pPr>
              <w:ind w:right="32"/>
              <w:jc w:val="center"/>
              <w:rPr>
                <w:rFonts w:ascii="Times New Roman" w:eastAsia="Calibri" w:hAnsi="Times New Roman"/>
                <w:b/>
                <w:sz w:val="28"/>
                <w:szCs w:val="28"/>
              </w:rPr>
            </w:pPr>
            <w:r>
              <w:rPr>
                <w:rFonts w:ascii="Times New Roman" w:eastAsia="Calibri" w:hAnsi="Times New Roman"/>
                <w:b/>
                <w:sz w:val="28"/>
                <w:szCs w:val="28"/>
              </w:rPr>
              <w:t>Значення</w:t>
            </w:r>
          </w:p>
        </w:tc>
      </w:tr>
      <w:tr w:rsidR="00227FEF">
        <w:trPr>
          <w:trHeight w:val="397"/>
        </w:trPr>
        <w:tc>
          <w:tcPr>
            <w:tcW w:w="7083" w:type="dxa"/>
            <w:tcBorders>
              <w:top w:val="single" w:sz="4" w:space="0" w:color="000000"/>
              <w:left w:val="single" w:sz="4" w:space="0" w:color="000000"/>
              <w:bottom w:val="single" w:sz="4" w:space="0" w:color="000000"/>
              <w:right w:val="single" w:sz="4" w:space="0" w:color="000000"/>
            </w:tcBorders>
          </w:tcPr>
          <w:p w:rsidR="00227FEF" w:rsidRDefault="00494B9D">
            <w:pPr>
              <w:ind w:right="-617"/>
              <w:rPr>
                <w:rFonts w:ascii="Times New Roman" w:eastAsia="Calibri" w:hAnsi="Times New Roman"/>
                <w:sz w:val="28"/>
                <w:szCs w:val="28"/>
              </w:rPr>
            </w:pPr>
            <w:r>
              <w:rPr>
                <w:rFonts w:ascii="Times New Roman" w:eastAsia="Calibri" w:hAnsi="Times New Roman"/>
                <w:sz w:val="28"/>
                <w:szCs w:val="28"/>
              </w:rPr>
              <w:t>Загальна кількість населених пунктів</w:t>
            </w:r>
          </w:p>
        </w:tc>
        <w:tc>
          <w:tcPr>
            <w:tcW w:w="2410" w:type="dxa"/>
            <w:tcBorders>
              <w:top w:val="single" w:sz="4" w:space="0" w:color="000000"/>
              <w:left w:val="single" w:sz="4" w:space="0" w:color="000000"/>
              <w:bottom w:val="single" w:sz="4" w:space="0" w:color="000000"/>
              <w:right w:val="single" w:sz="4" w:space="0" w:color="000000"/>
            </w:tcBorders>
          </w:tcPr>
          <w:p w:rsidR="00227FEF" w:rsidRDefault="00494B9D">
            <w:pPr>
              <w:ind w:right="-617"/>
              <w:jc w:val="center"/>
              <w:rPr>
                <w:rFonts w:ascii="Times New Roman" w:eastAsia="Calibri" w:hAnsi="Times New Roman"/>
                <w:sz w:val="28"/>
                <w:szCs w:val="28"/>
              </w:rPr>
            </w:pPr>
            <w:r>
              <w:rPr>
                <w:rFonts w:ascii="Times New Roman" w:eastAsia="Calibri" w:hAnsi="Times New Roman"/>
                <w:sz w:val="28"/>
                <w:szCs w:val="28"/>
              </w:rPr>
              <w:t>17</w:t>
            </w:r>
          </w:p>
        </w:tc>
      </w:tr>
      <w:tr w:rsidR="00227FEF">
        <w:trPr>
          <w:trHeight w:val="397"/>
        </w:trPr>
        <w:tc>
          <w:tcPr>
            <w:tcW w:w="7083" w:type="dxa"/>
            <w:tcBorders>
              <w:top w:val="single" w:sz="4" w:space="0" w:color="000000"/>
              <w:left w:val="single" w:sz="4" w:space="0" w:color="000000"/>
              <w:bottom w:val="single" w:sz="4" w:space="0" w:color="000000"/>
              <w:right w:val="single" w:sz="4" w:space="0" w:color="000000"/>
            </w:tcBorders>
          </w:tcPr>
          <w:p w:rsidR="00227FEF" w:rsidRDefault="00494B9D">
            <w:pPr>
              <w:ind w:right="-617"/>
              <w:rPr>
                <w:rFonts w:ascii="Times New Roman" w:eastAsia="Calibri" w:hAnsi="Times New Roman"/>
                <w:sz w:val="28"/>
                <w:szCs w:val="28"/>
                <w:lang w:val="ru-RU"/>
              </w:rPr>
            </w:pPr>
            <w:r>
              <w:rPr>
                <w:rFonts w:ascii="Times New Roman" w:eastAsia="Calibri" w:hAnsi="Times New Roman"/>
                <w:sz w:val="28"/>
                <w:szCs w:val="28"/>
                <w:lang w:val="ru-RU"/>
              </w:rPr>
              <w:t>Кількість актуальних Генеральних планів (після 2013 р.)</w:t>
            </w:r>
          </w:p>
        </w:tc>
        <w:tc>
          <w:tcPr>
            <w:tcW w:w="2410" w:type="dxa"/>
            <w:tcBorders>
              <w:top w:val="single" w:sz="4" w:space="0" w:color="000000"/>
              <w:left w:val="single" w:sz="4" w:space="0" w:color="000000"/>
              <w:bottom w:val="single" w:sz="4" w:space="0" w:color="000000"/>
              <w:right w:val="single" w:sz="4" w:space="0" w:color="000000"/>
            </w:tcBorders>
          </w:tcPr>
          <w:p w:rsidR="00227FEF" w:rsidRDefault="00494B9D">
            <w:pPr>
              <w:ind w:right="-617"/>
              <w:jc w:val="center"/>
              <w:rPr>
                <w:rFonts w:ascii="Times New Roman" w:eastAsia="Calibri" w:hAnsi="Times New Roman"/>
                <w:sz w:val="28"/>
                <w:szCs w:val="28"/>
              </w:rPr>
            </w:pPr>
            <w:r>
              <w:rPr>
                <w:rFonts w:ascii="Times New Roman" w:eastAsia="Calibri" w:hAnsi="Times New Roman"/>
                <w:sz w:val="28"/>
                <w:szCs w:val="28"/>
              </w:rPr>
              <w:t>2 (12%)</w:t>
            </w:r>
          </w:p>
        </w:tc>
      </w:tr>
      <w:tr w:rsidR="00227FEF">
        <w:trPr>
          <w:trHeight w:val="397"/>
        </w:trPr>
        <w:tc>
          <w:tcPr>
            <w:tcW w:w="7083" w:type="dxa"/>
            <w:tcBorders>
              <w:top w:val="single" w:sz="4" w:space="0" w:color="000000"/>
              <w:left w:val="single" w:sz="4" w:space="0" w:color="000000"/>
              <w:bottom w:val="single" w:sz="4" w:space="0" w:color="000000"/>
              <w:right w:val="single" w:sz="4" w:space="0" w:color="000000"/>
            </w:tcBorders>
          </w:tcPr>
          <w:p w:rsidR="00227FEF" w:rsidRDefault="00494B9D">
            <w:pPr>
              <w:ind w:right="-617"/>
              <w:rPr>
                <w:rFonts w:ascii="Times New Roman" w:eastAsia="Calibri" w:hAnsi="Times New Roman"/>
                <w:sz w:val="28"/>
                <w:szCs w:val="28"/>
              </w:rPr>
            </w:pPr>
            <w:r>
              <w:rPr>
                <w:rFonts w:ascii="Times New Roman" w:eastAsia="Calibri" w:hAnsi="Times New Roman"/>
                <w:sz w:val="28"/>
                <w:szCs w:val="28"/>
              </w:rPr>
              <w:t>Кількість пролонгованих радянських ГП</w:t>
            </w:r>
          </w:p>
        </w:tc>
        <w:tc>
          <w:tcPr>
            <w:tcW w:w="2410" w:type="dxa"/>
            <w:tcBorders>
              <w:top w:val="single" w:sz="4" w:space="0" w:color="000000"/>
              <w:left w:val="single" w:sz="4" w:space="0" w:color="000000"/>
              <w:bottom w:val="single" w:sz="4" w:space="0" w:color="000000"/>
              <w:right w:val="single" w:sz="4" w:space="0" w:color="000000"/>
            </w:tcBorders>
          </w:tcPr>
          <w:p w:rsidR="00227FEF" w:rsidRDefault="00494B9D">
            <w:pPr>
              <w:ind w:right="-617"/>
              <w:jc w:val="center"/>
              <w:rPr>
                <w:rFonts w:ascii="Times New Roman" w:eastAsia="Calibri" w:hAnsi="Times New Roman"/>
                <w:sz w:val="28"/>
                <w:szCs w:val="28"/>
              </w:rPr>
            </w:pPr>
            <w:r>
              <w:rPr>
                <w:rFonts w:ascii="Times New Roman" w:eastAsia="Calibri" w:hAnsi="Times New Roman"/>
                <w:sz w:val="28"/>
                <w:szCs w:val="28"/>
              </w:rPr>
              <w:t>13 (76%)</w:t>
            </w:r>
          </w:p>
        </w:tc>
      </w:tr>
      <w:tr w:rsidR="00227FEF">
        <w:trPr>
          <w:trHeight w:val="397"/>
        </w:trPr>
        <w:tc>
          <w:tcPr>
            <w:tcW w:w="7083" w:type="dxa"/>
            <w:tcBorders>
              <w:top w:val="single" w:sz="4" w:space="0" w:color="000000"/>
              <w:left w:val="single" w:sz="4" w:space="0" w:color="000000"/>
              <w:bottom w:val="single" w:sz="4" w:space="0" w:color="000000"/>
              <w:right w:val="single" w:sz="4" w:space="0" w:color="000000"/>
            </w:tcBorders>
          </w:tcPr>
          <w:p w:rsidR="00227FEF" w:rsidRDefault="00494B9D">
            <w:pPr>
              <w:ind w:right="-617"/>
              <w:rPr>
                <w:rFonts w:ascii="Times New Roman" w:eastAsia="Calibri" w:hAnsi="Times New Roman"/>
                <w:sz w:val="28"/>
                <w:szCs w:val="28"/>
                <w:lang w:val="ru-RU"/>
              </w:rPr>
            </w:pPr>
            <w:r>
              <w:rPr>
                <w:rFonts w:ascii="Times New Roman" w:eastAsia="Calibri" w:hAnsi="Times New Roman"/>
                <w:sz w:val="28"/>
                <w:szCs w:val="28"/>
                <w:lang w:val="ru-RU"/>
              </w:rPr>
              <w:t>Населені пункти без містобудівної документації</w:t>
            </w:r>
          </w:p>
        </w:tc>
        <w:tc>
          <w:tcPr>
            <w:tcW w:w="2410" w:type="dxa"/>
            <w:tcBorders>
              <w:top w:val="single" w:sz="4" w:space="0" w:color="000000"/>
              <w:left w:val="single" w:sz="4" w:space="0" w:color="000000"/>
              <w:bottom w:val="single" w:sz="4" w:space="0" w:color="000000"/>
              <w:right w:val="single" w:sz="4" w:space="0" w:color="000000"/>
            </w:tcBorders>
          </w:tcPr>
          <w:p w:rsidR="00227FEF" w:rsidRDefault="00494B9D">
            <w:pPr>
              <w:ind w:right="-617"/>
              <w:jc w:val="center"/>
              <w:rPr>
                <w:rFonts w:ascii="Times New Roman" w:eastAsia="Calibri" w:hAnsi="Times New Roman"/>
                <w:sz w:val="28"/>
                <w:szCs w:val="28"/>
              </w:rPr>
            </w:pPr>
            <w:r>
              <w:rPr>
                <w:rFonts w:ascii="Times New Roman" w:eastAsia="Calibri" w:hAnsi="Times New Roman"/>
                <w:sz w:val="28"/>
                <w:szCs w:val="28"/>
              </w:rPr>
              <w:t>2 (12%)</w:t>
            </w:r>
          </w:p>
        </w:tc>
      </w:tr>
      <w:tr w:rsidR="00227FEF">
        <w:trPr>
          <w:trHeight w:val="397"/>
        </w:trPr>
        <w:tc>
          <w:tcPr>
            <w:tcW w:w="7083" w:type="dxa"/>
            <w:tcBorders>
              <w:top w:val="single" w:sz="4" w:space="0" w:color="000000"/>
              <w:left w:val="single" w:sz="4" w:space="0" w:color="000000"/>
              <w:bottom w:val="single" w:sz="4" w:space="0" w:color="000000"/>
              <w:right w:val="single" w:sz="4" w:space="0" w:color="000000"/>
            </w:tcBorders>
          </w:tcPr>
          <w:p w:rsidR="00227FEF" w:rsidRDefault="00494B9D">
            <w:pPr>
              <w:ind w:right="-617"/>
              <w:rPr>
                <w:rFonts w:ascii="Times New Roman" w:eastAsia="Calibri" w:hAnsi="Times New Roman"/>
                <w:sz w:val="28"/>
                <w:szCs w:val="28"/>
              </w:rPr>
            </w:pPr>
            <w:r>
              <w:rPr>
                <w:rFonts w:ascii="Times New Roman" w:eastAsia="Calibri" w:hAnsi="Times New Roman"/>
                <w:sz w:val="28"/>
                <w:szCs w:val="28"/>
              </w:rPr>
              <w:t>Загальна кількість розроблених ДПТ</w:t>
            </w:r>
          </w:p>
        </w:tc>
        <w:tc>
          <w:tcPr>
            <w:tcW w:w="2410" w:type="dxa"/>
            <w:tcBorders>
              <w:top w:val="single" w:sz="4" w:space="0" w:color="000000"/>
              <w:left w:val="single" w:sz="4" w:space="0" w:color="000000"/>
              <w:bottom w:val="single" w:sz="4" w:space="0" w:color="000000"/>
              <w:right w:val="single" w:sz="4" w:space="0" w:color="000000"/>
            </w:tcBorders>
          </w:tcPr>
          <w:p w:rsidR="00227FEF" w:rsidRDefault="00494B9D">
            <w:pPr>
              <w:ind w:right="-617"/>
              <w:jc w:val="center"/>
              <w:rPr>
                <w:rFonts w:ascii="Times New Roman" w:eastAsia="Calibri" w:hAnsi="Times New Roman"/>
                <w:sz w:val="28"/>
                <w:szCs w:val="28"/>
              </w:rPr>
            </w:pPr>
            <w:r>
              <w:rPr>
                <w:rFonts w:ascii="Times New Roman" w:eastAsia="Calibri" w:hAnsi="Times New Roman"/>
                <w:sz w:val="28"/>
                <w:szCs w:val="28"/>
              </w:rPr>
              <w:t>26</w:t>
            </w:r>
          </w:p>
        </w:tc>
      </w:tr>
    </w:tbl>
    <w:p w:rsidR="00227FEF" w:rsidRDefault="00227FEF">
      <w:pPr>
        <w:spacing w:line="360" w:lineRule="auto"/>
        <w:jc w:val="both"/>
        <w:rPr>
          <w:rFonts w:ascii="Times New Roman" w:hAnsi="Times New Roman"/>
          <w:sz w:val="28"/>
          <w:szCs w:val="28"/>
        </w:rPr>
      </w:pPr>
    </w:p>
    <w:p w:rsidR="00227FEF" w:rsidRDefault="00494B9D">
      <w:pPr>
        <w:spacing w:line="360" w:lineRule="auto"/>
        <w:jc w:val="both"/>
        <w:rPr>
          <w:rFonts w:ascii="Times New Roman" w:hAnsi="Times New Roman"/>
          <w:sz w:val="28"/>
          <w:szCs w:val="28"/>
        </w:rPr>
      </w:pPr>
      <w:r>
        <w:rPr>
          <w:rFonts w:ascii="Times New Roman" w:hAnsi="Times New Roman"/>
          <w:sz w:val="28"/>
          <w:szCs w:val="28"/>
        </w:rPr>
        <w:tab/>
        <w:t xml:space="preserve">Більшість населених пунктів громади (76%) базуються на проектах планування та забудови радянського періоду (1967–1982 рр.), термін дії яких було продовжено рішеннями сільських рад у 2013 році (таблиця </w:t>
      </w:r>
      <w:proofErr w:type="gramStart"/>
      <w:r>
        <w:rPr>
          <w:rFonts w:ascii="Times New Roman" w:hAnsi="Times New Roman"/>
          <w:sz w:val="28"/>
          <w:szCs w:val="28"/>
        </w:rPr>
        <w:t>1.6.2 )</w:t>
      </w:r>
      <w:proofErr w:type="gramEnd"/>
      <w:r>
        <w:rPr>
          <w:rFonts w:ascii="Times New Roman" w:hAnsi="Times New Roman"/>
          <w:sz w:val="28"/>
          <w:szCs w:val="28"/>
        </w:rPr>
        <w:t>.</w:t>
      </w:r>
    </w:p>
    <w:p w:rsidR="00227FEF" w:rsidRPr="005E48D4" w:rsidRDefault="00494B9D">
      <w:pPr>
        <w:spacing w:line="360" w:lineRule="auto"/>
        <w:jc w:val="center"/>
        <w:rPr>
          <w:lang w:val="ru-RU"/>
        </w:rPr>
      </w:pPr>
      <w:r>
        <w:rPr>
          <w:rFonts w:ascii="Times New Roman" w:hAnsi="Times New Roman"/>
          <w:sz w:val="28"/>
          <w:szCs w:val="28"/>
          <w:lang w:val="ru-RU"/>
        </w:rPr>
        <w:t>Стан генеральних планів</w:t>
      </w:r>
      <w:r>
        <w:rPr>
          <w:rFonts w:ascii="Times New Roman" w:hAnsi="Times New Roman"/>
          <w:b/>
          <w:sz w:val="28"/>
          <w:szCs w:val="28"/>
          <w:lang w:val="ru-RU"/>
        </w:rPr>
        <w:t xml:space="preserve"> </w:t>
      </w:r>
      <w:r>
        <w:rPr>
          <w:rFonts w:ascii="Times New Roman" w:hAnsi="Times New Roman"/>
          <w:sz w:val="28"/>
          <w:szCs w:val="28"/>
          <w:lang w:val="ru-RU"/>
        </w:rPr>
        <w:t>Тур’є-Реметівської територіальної громади</w:t>
      </w:r>
    </w:p>
    <w:p w:rsidR="00227FEF" w:rsidRDefault="00494B9D">
      <w:pPr>
        <w:jc w:val="right"/>
      </w:pPr>
      <w:r>
        <w:rPr>
          <w:rFonts w:ascii="Times New Roman" w:hAnsi="Times New Roman"/>
          <w:b/>
          <w:sz w:val="28"/>
          <w:szCs w:val="28"/>
          <w:lang w:val="uk-UA"/>
        </w:rPr>
        <w:t xml:space="preserve">Таблиці </w:t>
      </w:r>
      <w:r>
        <w:t>5</w:t>
      </w:r>
    </w:p>
    <w:tbl>
      <w:tblPr>
        <w:tblW w:w="9634" w:type="dxa"/>
        <w:tblLayout w:type="fixed"/>
        <w:tblLook w:val="0000" w:firstRow="0" w:lastRow="0" w:firstColumn="0" w:lastColumn="0" w:noHBand="0" w:noVBand="0"/>
      </w:tblPr>
      <w:tblGrid>
        <w:gridCol w:w="3114"/>
        <w:gridCol w:w="1451"/>
        <w:gridCol w:w="5069"/>
      </w:tblGrid>
      <w:tr w:rsidR="00227FEF">
        <w:tc>
          <w:tcPr>
            <w:tcW w:w="3114" w:type="dxa"/>
            <w:tcBorders>
              <w:top w:val="single" w:sz="4" w:space="0" w:color="000000"/>
              <w:left w:val="single" w:sz="4" w:space="0" w:color="000000"/>
              <w:bottom w:val="single" w:sz="4" w:space="0" w:color="000000"/>
              <w:right w:val="single" w:sz="4" w:space="0" w:color="000000"/>
            </w:tcBorders>
          </w:tcPr>
          <w:p w:rsidR="00227FEF" w:rsidRDefault="00494B9D">
            <w:pPr>
              <w:ind w:right="-617"/>
              <w:rPr>
                <w:rFonts w:ascii="Times New Roman" w:eastAsia="Calibri" w:hAnsi="Times New Roman"/>
                <w:b/>
                <w:sz w:val="28"/>
                <w:szCs w:val="28"/>
              </w:rPr>
            </w:pPr>
            <w:r>
              <w:rPr>
                <w:rFonts w:ascii="Times New Roman" w:eastAsia="Calibri" w:hAnsi="Times New Roman"/>
                <w:b/>
                <w:sz w:val="28"/>
                <w:szCs w:val="28"/>
              </w:rPr>
              <w:t>Статус</w:t>
            </w:r>
          </w:p>
        </w:tc>
        <w:tc>
          <w:tcPr>
            <w:tcW w:w="1451" w:type="dxa"/>
            <w:tcBorders>
              <w:top w:val="single" w:sz="4" w:space="0" w:color="000000"/>
              <w:left w:val="single" w:sz="4" w:space="0" w:color="000000"/>
              <w:bottom w:val="single" w:sz="4" w:space="0" w:color="000000"/>
              <w:right w:val="single" w:sz="4" w:space="0" w:color="000000"/>
            </w:tcBorders>
          </w:tcPr>
          <w:p w:rsidR="00227FEF" w:rsidRDefault="00494B9D">
            <w:pPr>
              <w:ind w:right="-617"/>
              <w:rPr>
                <w:rFonts w:ascii="Times New Roman" w:eastAsia="Calibri" w:hAnsi="Times New Roman"/>
                <w:b/>
                <w:sz w:val="28"/>
                <w:szCs w:val="28"/>
              </w:rPr>
            </w:pPr>
            <w:r>
              <w:rPr>
                <w:rFonts w:ascii="Times New Roman" w:eastAsia="Calibri" w:hAnsi="Times New Roman"/>
                <w:b/>
                <w:sz w:val="28"/>
                <w:szCs w:val="28"/>
              </w:rPr>
              <w:t>Кількість</w:t>
            </w:r>
          </w:p>
        </w:tc>
        <w:tc>
          <w:tcPr>
            <w:tcW w:w="5069" w:type="dxa"/>
            <w:tcBorders>
              <w:top w:val="single" w:sz="4" w:space="0" w:color="000000"/>
              <w:left w:val="single" w:sz="4" w:space="0" w:color="000000"/>
              <w:bottom w:val="single" w:sz="4" w:space="0" w:color="000000"/>
              <w:right w:val="single" w:sz="4" w:space="0" w:color="000000"/>
            </w:tcBorders>
          </w:tcPr>
          <w:p w:rsidR="00227FEF" w:rsidRDefault="00494B9D">
            <w:pPr>
              <w:ind w:right="-617"/>
              <w:rPr>
                <w:rFonts w:ascii="Times New Roman" w:eastAsia="Calibri" w:hAnsi="Times New Roman"/>
                <w:b/>
                <w:sz w:val="28"/>
                <w:szCs w:val="28"/>
              </w:rPr>
            </w:pPr>
            <w:r>
              <w:rPr>
                <w:rFonts w:ascii="Times New Roman" w:eastAsia="Calibri" w:hAnsi="Times New Roman"/>
                <w:b/>
                <w:sz w:val="28"/>
                <w:szCs w:val="28"/>
              </w:rPr>
              <w:t>Населені пункти</w:t>
            </w:r>
          </w:p>
        </w:tc>
      </w:tr>
      <w:tr w:rsidR="00227FEF">
        <w:trPr>
          <w:trHeight w:val="451"/>
        </w:trPr>
        <w:tc>
          <w:tcPr>
            <w:tcW w:w="3114" w:type="dxa"/>
            <w:tcBorders>
              <w:top w:val="single" w:sz="4" w:space="0" w:color="000000"/>
              <w:left w:val="single" w:sz="4" w:space="0" w:color="000000"/>
              <w:bottom w:val="single" w:sz="4" w:space="0" w:color="000000"/>
              <w:right w:val="single" w:sz="4" w:space="0" w:color="000000"/>
            </w:tcBorders>
          </w:tcPr>
          <w:p w:rsidR="00227FEF" w:rsidRDefault="00494B9D">
            <w:pPr>
              <w:ind w:right="-617"/>
              <w:rPr>
                <w:rFonts w:ascii="Times New Roman" w:eastAsia="Calibri" w:hAnsi="Times New Roman"/>
                <w:sz w:val="28"/>
                <w:szCs w:val="28"/>
              </w:rPr>
            </w:pPr>
            <w:r>
              <w:rPr>
                <w:rFonts w:ascii="Times New Roman" w:eastAsia="Calibri" w:hAnsi="Times New Roman"/>
                <w:sz w:val="28"/>
                <w:szCs w:val="28"/>
              </w:rPr>
              <w:t>Актуальний ГП (новий)</w:t>
            </w:r>
          </w:p>
        </w:tc>
        <w:tc>
          <w:tcPr>
            <w:tcW w:w="1451" w:type="dxa"/>
            <w:tcBorders>
              <w:top w:val="single" w:sz="4" w:space="0" w:color="000000"/>
              <w:left w:val="single" w:sz="4" w:space="0" w:color="000000"/>
              <w:bottom w:val="single" w:sz="4" w:space="0" w:color="000000"/>
              <w:right w:val="single" w:sz="4" w:space="0" w:color="000000"/>
            </w:tcBorders>
          </w:tcPr>
          <w:p w:rsidR="00227FEF" w:rsidRDefault="00494B9D">
            <w:pPr>
              <w:jc w:val="center"/>
              <w:rPr>
                <w:rFonts w:ascii="Times New Roman" w:eastAsia="Calibri" w:hAnsi="Times New Roman"/>
                <w:sz w:val="28"/>
                <w:szCs w:val="28"/>
              </w:rPr>
            </w:pPr>
            <w:r>
              <w:rPr>
                <w:rFonts w:ascii="Times New Roman" w:eastAsia="Calibri" w:hAnsi="Times New Roman"/>
                <w:sz w:val="28"/>
                <w:szCs w:val="28"/>
              </w:rPr>
              <w:t>2</w:t>
            </w:r>
          </w:p>
        </w:tc>
        <w:tc>
          <w:tcPr>
            <w:tcW w:w="5069" w:type="dxa"/>
            <w:tcBorders>
              <w:top w:val="single" w:sz="4" w:space="0" w:color="000000"/>
              <w:left w:val="single" w:sz="4" w:space="0" w:color="000000"/>
              <w:bottom w:val="single" w:sz="4" w:space="0" w:color="000000"/>
              <w:right w:val="single" w:sz="4" w:space="0" w:color="000000"/>
            </w:tcBorders>
          </w:tcPr>
          <w:p w:rsidR="00227FEF" w:rsidRDefault="00494B9D">
            <w:pPr>
              <w:ind w:right="-617"/>
              <w:rPr>
                <w:rFonts w:ascii="Times New Roman" w:eastAsia="Calibri" w:hAnsi="Times New Roman"/>
                <w:sz w:val="28"/>
                <w:szCs w:val="28"/>
              </w:rPr>
            </w:pPr>
            <w:r>
              <w:rPr>
                <w:rFonts w:ascii="Times New Roman" w:eastAsia="Calibri" w:hAnsi="Times New Roman"/>
                <w:sz w:val="28"/>
                <w:szCs w:val="28"/>
              </w:rPr>
              <w:t>Тур’ї Ремети, Турички</w:t>
            </w:r>
          </w:p>
        </w:tc>
      </w:tr>
      <w:tr w:rsidR="00227FEF" w:rsidRPr="00F155F9">
        <w:trPr>
          <w:trHeight w:val="1488"/>
        </w:trPr>
        <w:tc>
          <w:tcPr>
            <w:tcW w:w="3114" w:type="dxa"/>
            <w:tcBorders>
              <w:top w:val="single" w:sz="4" w:space="0" w:color="000000"/>
              <w:left w:val="single" w:sz="4" w:space="0" w:color="000000"/>
              <w:bottom w:val="single" w:sz="4" w:space="0" w:color="000000"/>
              <w:right w:val="single" w:sz="4" w:space="0" w:color="000000"/>
            </w:tcBorders>
          </w:tcPr>
          <w:p w:rsidR="00227FEF" w:rsidRDefault="00494B9D">
            <w:pPr>
              <w:ind w:right="-617"/>
              <w:rPr>
                <w:rFonts w:ascii="Times New Roman" w:eastAsia="Calibri" w:hAnsi="Times New Roman"/>
                <w:sz w:val="28"/>
                <w:szCs w:val="28"/>
              </w:rPr>
            </w:pPr>
            <w:r>
              <w:rPr>
                <w:rFonts w:ascii="Times New Roman" w:eastAsia="Calibri" w:hAnsi="Times New Roman"/>
                <w:sz w:val="28"/>
                <w:szCs w:val="28"/>
              </w:rPr>
              <w:t>Пролонгований</w:t>
            </w:r>
          </w:p>
          <w:p w:rsidR="00227FEF" w:rsidRDefault="00494B9D">
            <w:pPr>
              <w:ind w:right="-617"/>
              <w:rPr>
                <w:rFonts w:ascii="Times New Roman" w:eastAsia="Calibri" w:hAnsi="Times New Roman"/>
                <w:sz w:val="28"/>
                <w:szCs w:val="28"/>
              </w:rPr>
            </w:pPr>
            <w:r>
              <w:rPr>
                <w:rFonts w:ascii="Times New Roman" w:eastAsia="Calibri" w:hAnsi="Times New Roman"/>
                <w:sz w:val="28"/>
                <w:szCs w:val="28"/>
              </w:rPr>
              <w:t>(радянський)</w:t>
            </w:r>
          </w:p>
        </w:tc>
        <w:tc>
          <w:tcPr>
            <w:tcW w:w="1451" w:type="dxa"/>
            <w:tcBorders>
              <w:top w:val="single" w:sz="4" w:space="0" w:color="000000"/>
              <w:left w:val="single" w:sz="4" w:space="0" w:color="000000"/>
              <w:bottom w:val="single" w:sz="4" w:space="0" w:color="000000"/>
              <w:right w:val="single" w:sz="4" w:space="0" w:color="000000"/>
            </w:tcBorders>
          </w:tcPr>
          <w:p w:rsidR="00227FEF" w:rsidRDefault="00494B9D">
            <w:pPr>
              <w:ind w:right="35"/>
              <w:jc w:val="center"/>
              <w:rPr>
                <w:rFonts w:ascii="Times New Roman" w:eastAsia="Calibri" w:hAnsi="Times New Roman"/>
                <w:sz w:val="28"/>
                <w:szCs w:val="28"/>
              </w:rPr>
            </w:pPr>
            <w:r>
              <w:rPr>
                <w:rFonts w:ascii="Times New Roman" w:eastAsia="Calibri" w:hAnsi="Times New Roman"/>
                <w:sz w:val="28"/>
                <w:szCs w:val="28"/>
              </w:rPr>
              <w:t>13</w:t>
            </w:r>
          </w:p>
        </w:tc>
        <w:tc>
          <w:tcPr>
            <w:tcW w:w="5069" w:type="dxa"/>
            <w:tcBorders>
              <w:top w:val="single" w:sz="4" w:space="0" w:color="000000"/>
              <w:left w:val="single" w:sz="4" w:space="0" w:color="000000"/>
              <w:bottom w:val="single" w:sz="4" w:space="0" w:color="000000"/>
              <w:right w:val="single" w:sz="4" w:space="0" w:color="000000"/>
            </w:tcBorders>
          </w:tcPr>
          <w:p w:rsidR="00227FEF" w:rsidRDefault="00494B9D">
            <w:pPr>
              <w:rPr>
                <w:rFonts w:ascii="Times New Roman" w:eastAsia="Calibri" w:hAnsi="Times New Roman"/>
                <w:sz w:val="28"/>
                <w:szCs w:val="28"/>
                <w:lang w:val="ru-RU"/>
              </w:rPr>
            </w:pPr>
            <w:r>
              <w:rPr>
                <w:rFonts w:ascii="Times New Roman" w:eastAsia="Calibri" w:hAnsi="Times New Roman"/>
                <w:sz w:val="28"/>
                <w:szCs w:val="28"/>
                <w:lang w:val="ru-RU"/>
              </w:rPr>
              <w:t>Вільшинки, Завбуч, Лумшори, Маюрки, Мокра, Полянська Гута, Порошково, Раково, Свалявка, Туриця, Тур’я Пасіка, Тур’я Поляна, Тур’я-Бистра</w:t>
            </w:r>
          </w:p>
        </w:tc>
      </w:tr>
      <w:tr w:rsidR="00227FEF">
        <w:trPr>
          <w:trHeight w:val="495"/>
        </w:trPr>
        <w:tc>
          <w:tcPr>
            <w:tcW w:w="3114" w:type="dxa"/>
            <w:tcBorders>
              <w:top w:val="single" w:sz="4" w:space="0" w:color="000000"/>
              <w:left w:val="single" w:sz="4" w:space="0" w:color="000000"/>
              <w:bottom w:val="single" w:sz="4" w:space="0" w:color="000000"/>
              <w:right w:val="single" w:sz="4" w:space="0" w:color="000000"/>
            </w:tcBorders>
          </w:tcPr>
          <w:p w:rsidR="00227FEF" w:rsidRDefault="00494B9D">
            <w:pPr>
              <w:ind w:right="-617"/>
              <w:rPr>
                <w:rFonts w:ascii="Times New Roman" w:eastAsia="Calibri" w:hAnsi="Times New Roman"/>
                <w:sz w:val="28"/>
                <w:szCs w:val="28"/>
              </w:rPr>
            </w:pPr>
            <w:r>
              <w:rPr>
                <w:rFonts w:ascii="Times New Roman" w:eastAsia="Calibri" w:hAnsi="Times New Roman"/>
                <w:sz w:val="28"/>
                <w:szCs w:val="28"/>
              </w:rPr>
              <w:t>Відсутній / Прогалини</w:t>
            </w:r>
          </w:p>
        </w:tc>
        <w:tc>
          <w:tcPr>
            <w:tcW w:w="1451" w:type="dxa"/>
            <w:tcBorders>
              <w:top w:val="single" w:sz="4" w:space="0" w:color="000000"/>
              <w:left w:val="single" w:sz="4" w:space="0" w:color="000000"/>
              <w:bottom w:val="single" w:sz="4" w:space="0" w:color="000000"/>
              <w:right w:val="single" w:sz="4" w:space="0" w:color="000000"/>
            </w:tcBorders>
          </w:tcPr>
          <w:p w:rsidR="00227FEF" w:rsidRDefault="00494B9D">
            <w:pPr>
              <w:ind w:right="33"/>
              <w:jc w:val="center"/>
              <w:rPr>
                <w:rFonts w:ascii="Times New Roman" w:eastAsia="Calibri" w:hAnsi="Times New Roman"/>
                <w:sz w:val="28"/>
                <w:szCs w:val="28"/>
              </w:rPr>
            </w:pPr>
            <w:r>
              <w:rPr>
                <w:rFonts w:ascii="Times New Roman" w:eastAsia="Calibri" w:hAnsi="Times New Roman"/>
                <w:sz w:val="28"/>
                <w:szCs w:val="28"/>
              </w:rPr>
              <w:t>2</w:t>
            </w:r>
          </w:p>
        </w:tc>
        <w:tc>
          <w:tcPr>
            <w:tcW w:w="5069" w:type="dxa"/>
            <w:tcBorders>
              <w:top w:val="single" w:sz="4" w:space="0" w:color="000000"/>
              <w:left w:val="single" w:sz="4" w:space="0" w:color="000000"/>
              <w:bottom w:val="single" w:sz="4" w:space="0" w:color="000000"/>
              <w:right w:val="single" w:sz="4" w:space="0" w:color="000000"/>
            </w:tcBorders>
          </w:tcPr>
          <w:p w:rsidR="00227FEF" w:rsidRDefault="00494B9D">
            <w:pPr>
              <w:ind w:right="-617"/>
              <w:rPr>
                <w:rFonts w:ascii="Times New Roman" w:eastAsia="Calibri" w:hAnsi="Times New Roman"/>
                <w:sz w:val="28"/>
                <w:szCs w:val="28"/>
              </w:rPr>
            </w:pPr>
            <w:r>
              <w:rPr>
                <w:rFonts w:ascii="Times New Roman" w:eastAsia="Calibri" w:hAnsi="Times New Roman"/>
                <w:sz w:val="28"/>
                <w:szCs w:val="28"/>
              </w:rPr>
              <w:t>Липовець, Лікіцари</w:t>
            </w:r>
          </w:p>
        </w:tc>
      </w:tr>
    </w:tbl>
    <w:p w:rsidR="00227FEF" w:rsidRDefault="00494B9D">
      <w:pPr>
        <w:spacing w:line="360" w:lineRule="auto"/>
        <w:jc w:val="both"/>
        <w:rPr>
          <w:rFonts w:ascii="Times New Roman" w:hAnsi="Times New Roman"/>
          <w:sz w:val="28"/>
          <w:szCs w:val="28"/>
        </w:rPr>
      </w:pPr>
      <w:r>
        <w:rPr>
          <w:rFonts w:ascii="Times New Roman" w:hAnsi="Times New Roman"/>
          <w:sz w:val="28"/>
          <w:szCs w:val="28"/>
        </w:rPr>
        <w:tab/>
      </w:r>
    </w:p>
    <w:p w:rsidR="00227FEF" w:rsidRDefault="00494B9D">
      <w:pPr>
        <w:spacing w:line="360" w:lineRule="auto"/>
        <w:jc w:val="both"/>
        <w:rPr>
          <w:rFonts w:ascii="Times New Roman" w:hAnsi="Times New Roman"/>
          <w:sz w:val="28"/>
          <w:szCs w:val="28"/>
          <w:lang w:val="ru-RU"/>
        </w:rPr>
      </w:pPr>
      <w:r>
        <w:rPr>
          <w:rFonts w:ascii="Times New Roman" w:hAnsi="Times New Roman"/>
          <w:sz w:val="28"/>
          <w:szCs w:val="28"/>
          <w:lang w:val="ru-RU"/>
        </w:rPr>
        <w:tab/>
        <w:t>У громаді зафіксовано 26 детальних планів території (ДПТ). Розподіл активності по населеним пунктам наведений у таблиці 1.6.3</w:t>
      </w:r>
    </w:p>
    <w:p w:rsidR="00227FEF" w:rsidRDefault="00494B9D">
      <w:pPr>
        <w:spacing w:line="360" w:lineRule="auto"/>
        <w:jc w:val="center"/>
        <w:rPr>
          <w:rFonts w:ascii="Times New Roman" w:hAnsi="Times New Roman"/>
          <w:sz w:val="28"/>
          <w:szCs w:val="28"/>
          <w:lang w:val="ru-RU"/>
        </w:rPr>
      </w:pPr>
      <w:r>
        <w:rPr>
          <w:rFonts w:ascii="Times New Roman" w:hAnsi="Times New Roman"/>
          <w:sz w:val="28"/>
          <w:szCs w:val="28"/>
          <w:lang w:val="ru-RU"/>
        </w:rPr>
        <w:t>Аналіз Детальних планів території (ДПТ)</w:t>
      </w:r>
    </w:p>
    <w:p w:rsidR="00227FEF" w:rsidRDefault="00494B9D">
      <w:pPr>
        <w:spacing w:line="360" w:lineRule="auto"/>
        <w:jc w:val="right"/>
      </w:pPr>
      <w:r>
        <w:rPr>
          <w:rFonts w:ascii="Times New Roman" w:hAnsi="Times New Roman"/>
          <w:b/>
          <w:sz w:val="28"/>
          <w:szCs w:val="28"/>
          <w:lang w:val="uk-UA"/>
        </w:rPr>
        <w:t xml:space="preserve">Таблиця </w:t>
      </w:r>
      <w:r>
        <w:t>6</w:t>
      </w:r>
    </w:p>
    <w:tbl>
      <w:tblPr>
        <w:tblW w:w="8640" w:type="dxa"/>
        <w:jc w:val="center"/>
        <w:tblLayout w:type="fixed"/>
        <w:tblLook w:val="0000" w:firstRow="0" w:lastRow="0" w:firstColumn="0" w:lastColumn="0" w:noHBand="0" w:noVBand="0"/>
      </w:tblPr>
      <w:tblGrid>
        <w:gridCol w:w="4320"/>
        <w:gridCol w:w="4320"/>
      </w:tblGrid>
      <w:tr w:rsidR="00227FEF">
        <w:trPr>
          <w:trHeight w:val="340"/>
          <w:jc w:val="center"/>
        </w:trPr>
        <w:tc>
          <w:tcPr>
            <w:tcW w:w="4320" w:type="dxa"/>
            <w:tcBorders>
              <w:top w:val="single" w:sz="4" w:space="0" w:color="000000"/>
              <w:left w:val="single" w:sz="4" w:space="0" w:color="000000"/>
              <w:bottom w:val="single" w:sz="4" w:space="0" w:color="000000"/>
              <w:right w:val="single" w:sz="4" w:space="0" w:color="000000"/>
            </w:tcBorders>
          </w:tcPr>
          <w:p w:rsidR="00227FEF" w:rsidRDefault="00494B9D">
            <w:pPr>
              <w:ind w:right="-617"/>
              <w:jc w:val="center"/>
              <w:rPr>
                <w:rFonts w:ascii="Times New Roman" w:eastAsia="Calibri" w:hAnsi="Times New Roman"/>
                <w:b/>
                <w:sz w:val="28"/>
                <w:szCs w:val="28"/>
              </w:rPr>
            </w:pPr>
            <w:r>
              <w:rPr>
                <w:rFonts w:ascii="Times New Roman" w:eastAsia="Calibri" w:hAnsi="Times New Roman"/>
                <w:b/>
                <w:sz w:val="28"/>
                <w:szCs w:val="28"/>
              </w:rPr>
              <w:t>Населений пункт</w:t>
            </w:r>
          </w:p>
        </w:tc>
        <w:tc>
          <w:tcPr>
            <w:tcW w:w="4320" w:type="dxa"/>
            <w:tcBorders>
              <w:top w:val="single" w:sz="4" w:space="0" w:color="000000"/>
              <w:left w:val="single" w:sz="4" w:space="0" w:color="000000"/>
              <w:bottom w:val="single" w:sz="4" w:space="0" w:color="000000"/>
              <w:right w:val="single" w:sz="4" w:space="0" w:color="000000"/>
            </w:tcBorders>
          </w:tcPr>
          <w:p w:rsidR="00227FEF" w:rsidRDefault="00494B9D">
            <w:pPr>
              <w:ind w:right="-617"/>
              <w:jc w:val="center"/>
              <w:rPr>
                <w:rFonts w:ascii="Times New Roman" w:eastAsia="Calibri" w:hAnsi="Times New Roman"/>
                <w:b/>
                <w:sz w:val="28"/>
                <w:szCs w:val="28"/>
              </w:rPr>
            </w:pPr>
            <w:r>
              <w:rPr>
                <w:rFonts w:ascii="Times New Roman" w:eastAsia="Calibri" w:hAnsi="Times New Roman"/>
                <w:b/>
                <w:sz w:val="28"/>
                <w:szCs w:val="28"/>
              </w:rPr>
              <w:t>Кількість ДПТ</w:t>
            </w:r>
          </w:p>
        </w:tc>
      </w:tr>
      <w:tr w:rsidR="00227FEF">
        <w:trPr>
          <w:trHeight w:val="340"/>
          <w:jc w:val="center"/>
        </w:trPr>
        <w:tc>
          <w:tcPr>
            <w:tcW w:w="4320" w:type="dxa"/>
            <w:tcBorders>
              <w:top w:val="single" w:sz="4" w:space="0" w:color="000000"/>
              <w:left w:val="single" w:sz="4" w:space="0" w:color="000000"/>
              <w:bottom w:val="single" w:sz="4" w:space="0" w:color="000000"/>
              <w:right w:val="single" w:sz="4" w:space="0" w:color="000000"/>
            </w:tcBorders>
          </w:tcPr>
          <w:p w:rsidR="00227FEF" w:rsidRDefault="00494B9D">
            <w:pPr>
              <w:ind w:right="-617"/>
              <w:jc w:val="center"/>
              <w:rPr>
                <w:rFonts w:ascii="Times New Roman" w:eastAsia="Calibri" w:hAnsi="Times New Roman"/>
                <w:sz w:val="28"/>
                <w:szCs w:val="28"/>
              </w:rPr>
            </w:pPr>
            <w:r>
              <w:rPr>
                <w:rFonts w:ascii="Times New Roman" w:eastAsia="Calibri" w:hAnsi="Times New Roman"/>
                <w:sz w:val="28"/>
                <w:szCs w:val="28"/>
              </w:rPr>
              <w:t>Порошково</w:t>
            </w:r>
          </w:p>
        </w:tc>
        <w:tc>
          <w:tcPr>
            <w:tcW w:w="4320" w:type="dxa"/>
            <w:tcBorders>
              <w:top w:val="single" w:sz="4" w:space="0" w:color="000000"/>
              <w:left w:val="single" w:sz="4" w:space="0" w:color="000000"/>
              <w:bottom w:val="single" w:sz="4" w:space="0" w:color="000000"/>
              <w:right w:val="single" w:sz="4" w:space="0" w:color="000000"/>
            </w:tcBorders>
          </w:tcPr>
          <w:p w:rsidR="00227FEF" w:rsidRDefault="00494B9D">
            <w:pPr>
              <w:ind w:right="-617"/>
              <w:jc w:val="center"/>
              <w:rPr>
                <w:rFonts w:ascii="Times New Roman" w:eastAsia="Calibri" w:hAnsi="Times New Roman"/>
                <w:sz w:val="28"/>
                <w:szCs w:val="28"/>
              </w:rPr>
            </w:pPr>
            <w:r>
              <w:rPr>
                <w:rFonts w:ascii="Times New Roman" w:eastAsia="Calibri" w:hAnsi="Times New Roman"/>
                <w:sz w:val="28"/>
                <w:szCs w:val="28"/>
              </w:rPr>
              <w:t>7</w:t>
            </w:r>
          </w:p>
        </w:tc>
      </w:tr>
      <w:tr w:rsidR="00227FEF">
        <w:trPr>
          <w:trHeight w:val="340"/>
          <w:jc w:val="center"/>
        </w:trPr>
        <w:tc>
          <w:tcPr>
            <w:tcW w:w="4320" w:type="dxa"/>
            <w:tcBorders>
              <w:top w:val="single" w:sz="4" w:space="0" w:color="000000"/>
              <w:left w:val="single" w:sz="4" w:space="0" w:color="000000"/>
              <w:bottom w:val="single" w:sz="4" w:space="0" w:color="000000"/>
              <w:right w:val="single" w:sz="4" w:space="0" w:color="000000"/>
            </w:tcBorders>
          </w:tcPr>
          <w:p w:rsidR="00227FEF" w:rsidRDefault="00494B9D">
            <w:pPr>
              <w:ind w:right="-617"/>
              <w:jc w:val="center"/>
              <w:rPr>
                <w:rFonts w:ascii="Times New Roman" w:eastAsia="Calibri" w:hAnsi="Times New Roman"/>
                <w:sz w:val="28"/>
                <w:szCs w:val="28"/>
              </w:rPr>
            </w:pPr>
            <w:r>
              <w:rPr>
                <w:rFonts w:ascii="Times New Roman" w:eastAsia="Calibri" w:hAnsi="Times New Roman"/>
                <w:sz w:val="28"/>
                <w:szCs w:val="28"/>
              </w:rPr>
              <w:t>Лумшори</w:t>
            </w:r>
          </w:p>
        </w:tc>
        <w:tc>
          <w:tcPr>
            <w:tcW w:w="4320" w:type="dxa"/>
            <w:tcBorders>
              <w:top w:val="single" w:sz="4" w:space="0" w:color="000000"/>
              <w:left w:val="single" w:sz="4" w:space="0" w:color="000000"/>
              <w:bottom w:val="single" w:sz="4" w:space="0" w:color="000000"/>
              <w:right w:val="single" w:sz="4" w:space="0" w:color="000000"/>
            </w:tcBorders>
          </w:tcPr>
          <w:p w:rsidR="00227FEF" w:rsidRDefault="00494B9D">
            <w:pPr>
              <w:ind w:right="-617"/>
              <w:jc w:val="center"/>
              <w:rPr>
                <w:rFonts w:ascii="Times New Roman" w:eastAsia="Calibri" w:hAnsi="Times New Roman"/>
                <w:sz w:val="28"/>
                <w:szCs w:val="28"/>
              </w:rPr>
            </w:pPr>
            <w:r>
              <w:rPr>
                <w:rFonts w:ascii="Times New Roman" w:eastAsia="Calibri" w:hAnsi="Times New Roman"/>
                <w:sz w:val="28"/>
                <w:szCs w:val="28"/>
              </w:rPr>
              <w:t>3</w:t>
            </w:r>
          </w:p>
        </w:tc>
      </w:tr>
      <w:tr w:rsidR="00227FEF">
        <w:trPr>
          <w:trHeight w:val="340"/>
          <w:jc w:val="center"/>
        </w:trPr>
        <w:tc>
          <w:tcPr>
            <w:tcW w:w="4320" w:type="dxa"/>
            <w:tcBorders>
              <w:top w:val="single" w:sz="4" w:space="0" w:color="000000"/>
              <w:left w:val="single" w:sz="4" w:space="0" w:color="000000"/>
              <w:bottom w:val="single" w:sz="4" w:space="0" w:color="000000"/>
              <w:right w:val="single" w:sz="4" w:space="0" w:color="000000"/>
            </w:tcBorders>
          </w:tcPr>
          <w:p w:rsidR="00227FEF" w:rsidRDefault="00494B9D">
            <w:pPr>
              <w:ind w:left="-546" w:right="-617"/>
              <w:jc w:val="center"/>
              <w:rPr>
                <w:rFonts w:ascii="Times New Roman" w:eastAsia="Calibri" w:hAnsi="Times New Roman"/>
                <w:sz w:val="28"/>
                <w:szCs w:val="28"/>
              </w:rPr>
            </w:pPr>
            <w:r>
              <w:rPr>
                <w:rFonts w:ascii="Times New Roman" w:eastAsia="Calibri" w:hAnsi="Times New Roman"/>
                <w:sz w:val="28"/>
                <w:szCs w:val="28"/>
              </w:rPr>
              <w:lastRenderedPageBreak/>
              <w:t>Тур’я Поляна</w:t>
            </w:r>
          </w:p>
        </w:tc>
        <w:tc>
          <w:tcPr>
            <w:tcW w:w="4320" w:type="dxa"/>
            <w:tcBorders>
              <w:top w:val="single" w:sz="4" w:space="0" w:color="000000"/>
              <w:left w:val="single" w:sz="4" w:space="0" w:color="000000"/>
              <w:bottom w:val="single" w:sz="4" w:space="0" w:color="000000"/>
              <w:right w:val="single" w:sz="4" w:space="0" w:color="000000"/>
            </w:tcBorders>
          </w:tcPr>
          <w:p w:rsidR="00227FEF" w:rsidRDefault="00494B9D">
            <w:pPr>
              <w:ind w:right="-617"/>
              <w:jc w:val="center"/>
              <w:rPr>
                <w:rFonts w:ascii="Times New Roman" w:eastAsia="Calibri" w:hAnsi="Times New Roman"/>
                <w:sz w:val="28"/>
                <w:szCs w:val="28"/>
              </w:rPr>
            </w:pPr>
            <w:r>
              <w:rPr>
                <w:rFonts w:ascii="Times New Roman" w:eastAsia="Calibri" w:hAnsi="Times New Roman"/>
                <w:sz w:val="28"/>
                <w:szCs w:val="28"/>
              </w:rPr>
              <w:t>2</w:t>
            </w:r>
          </w:p>
        </w:tc>
      </w:tr>
      <w:tr w:rsidR="00227FEF">
        <w:trPr>
          <w:trHeight w:val="340"/>
          <w:jc w:val="center"/>
        </w:trPr>
        <w:tc>
          <w:tcPr>
            <w:tcW w:w="4320" w:type="dxa"/>
            <w:tcBorders>
              <w:top w:val="single" w:sz="4" w:space="0" w:color="000000"/>
              <w:left w:val="single" w:sz="4" w:space="0" w:color="000000"/>
              <w:bottom w:val="single" w:sz="4" w:space="0" w:color="000000"/>
              <w:right w:val="single" w:sz="4" w:space="0" w:color="000000"/>
            </w:tcBorders>
          </w:tcPr>
          <w:p w:rsidR="00227FEF" w:rsidRDefault="00494B9D">
            <w:pPr>
              <w:ind w:right="-617"/>
              <w:jc w:val="center"/>
              <w:rPr>
                <w:rFonts w:ascii="Times New Roman" w:eastAsia="Calibri" w:hAnsi="Times New Roman"/>
                <w:sz w:val="28"/>
                <w:szCs w:val="28"/>
              </w:rPr>
            </w:pPr>
            <w:r>
              <w:rPr>
                <w:rFonts w:ascii="Times New Roman" w:eastAsia="Calibri" w:hAnsi="Times New Roman"/>
                <w:sz w:val="28"/>
                <w:szCs w:val="28"/>
              </w:rPr>
              <w:t>Тур’я Пасіка</w:t>
            </w:r>
          </w:p>
        </w:tc>
        <w:tc>
          <w:tcPr>
            <w:tcW w:w="4320" w:type="dxa"/>
            <w:tcBorders>
              <w:top w:val="single" w:sz="4" w:space="0" w:color="000000"/>
              <w:left w:val="single" w:sz="4" w:space="0" w:color="000000"/>
              <w:bottom w:val="single" w:sz="4" w:space="0" w:color="000000"/>
              <w:right w:val="single" w:sz="4" w:space="0" w:color="000000"/>
            </w:tcBorders>
          </w:tcPr>
          <w:p w:rsidR="00227FEF" w:rsidRDefault="00494B9D">
            <w:pPr>
              <w:ind w:right="-617"/>
              <w:jc w:val="center"/>
              <w:rPr>
                <w:rFonts w:ascii="Times New Roman" w:eastAsia="Calibri" w:hAnsi="Times New Roman"/>
                <w:sz w:val="28"/>
                <w:szCs w:val="28"/>
              </w:rPr>
            </w:pPr>
            <w:r>
              <w:rPr>
                <w:rFonts w:ascii="Times New Roman" w:eastAsia="Calibri" w:hAnsi="Times New Roman"/>
                <w:sz w:val="28"/>
                <w:szCs w:val="28"/>
              </w:rPr>
              <w:t>2</w:t>
            </w:r>
          </w:p>
        </w:tc>
      </w:tr>
      <w:tr w:rsidR="00227FEF">
        <w:trPr>
          <w:trHeight w:val="340"/>
          <w:jc w:val="center"/>
        </w:trPr>
        <w:tc>
          <w:tcPr>
            <w:tcW w:w="4320" w:type="dxa"/>
            <w:tcBorders>
              <w:top w:val="single" w:sz="4" w:space="0" w:color="000000"/>
              <w:left w:val="single" w:sz="4" w:space="0" w:color="000000"/>
              <w:bottom w:val="single" w:sz="4" w:space="0" w:color="000000"/>
              <w:right w:val="single" w:sz="4" w:space="0" w:color="000000"/>
            </w:tcBorders>
          </w:tcPr>
          <w:p w:rsidR="00227FEF" w:rsidRDefault="00494B9D">
            <w:pPr>
              <w:ind w:right="-617"/>
              <w:jc w:val="center"/>
              <w:rPr>
                <w:rFonts w:ascii="Times New Roman" w:eastAsia="Calibri" w:hAnsi="Times New Roman"/>
                <w:sz w:val="28"/>
                <w:szCs w:val="28"/>
              </w:rPr>
            </w:pPr>
            <w:r>
              <w:rPr>
                <w:rFonts w:ascii="Times New Roman" w:eastAsia="Calibri" w:hAnsi="Times New Roman"/>
                <w:sz w:val="28"/>
                <w:szCs w:val="28"/>
              </w:rPr>
              <w:t>Тур’ї Ремети</w:t>
            </w:r>
          </w:p>
        </w:tc>
        <w:tc>
          <w:tcPr>
            <w:tcW w:w="4320" w:type="dxa"/>
            <w:tcBorders>
              <w:top w:val="single" w:sz="4" w:space="0" w:color="000000"/>
              <w:left w:val="single" w:sz="4" w:space="0" w:color="000000"/>
              <w:bottom w:val="single" w:sz="4" w:space="0" w:color="000000"/>
              <w:right w:val="single" w:sz="4" w:space="0" w:color="000000"/>
            </w:tcBorders>
          </w:tcPr>
          <w:p w:rsidR="00227FEF" w:rsidRDefault="00494B9D">
            <w:pPr>
              <w:ind w:right="-617"/>
              <w:jc w:val="center"/>
              <w:rPr>
                <w:rFonts w:ascii="Times New Roman" w:eastAsia="Calibri" w:hAnsi="Times New Roman"/>
                <w:sz w:val="28"/>
                <w:szCs w:val="28"/>
              </w:rPr>
            </w:pPr>
            <w:r>
              <w:rPr>
                <w:rFonts w:ascii="Times New Roman" w:eastAsia="Calibri" w:hAnsi="Times New Roman"/>
                <w:sz w:val="28"/>
                <w:szCs w:val="28"/>
              </w:rPr>
              <w:t>1</w:t>
            </w:r>
          </w:p>
        </w:tc>
      </w:tr>
      <w:tr w:rsidR="00227FEF">
        <w:trPr>
          <w:trHeight w:val="340"/>
          <w:jc w:val="center"/>
        </w:trPr>
        <w:tc>
          <w:tcPr>
            <w:tcW w:w="4320" w:type="dxa"/>
            <w:tcBorders>
              <w:top w:val="single" w:sz="4" w:space="0" w:color="000000"/>
              <w:left w:val="single" w:sz="4" w:space="0" w:color="000000"/>
              <w:bottom w:val="single" w:sz="4" w:space="0" w:color="000000"/>
              <w:right w:val="single" w:sz="4" w:space="0" w:color="000000"/>
            </w:tcBorders>
          </w:tcPr>
          <w:p w:rsidR="00227FEF" w:rsidRDefault="00494B9D">
            <w:pPr>
              <w:ind w:right="-617"/>
              <w:jc w:val="center"/>
              <w:rPr>
                <w:rFonts w:ascii="Times New Roman" w:eastAsia="Calibri" w:hAnsi="Times New Roman"/>
                <w:sz w:val="28"/>
                <w:szCs w:val="28"/>
              </w:rPr>
            </w:pPr>
            <w:r>
              <w:rPr>
                <w:rFonts w:ascii="Times New Roman" w:eastAsia="Calibri" w:hAnsi="Times New Roman"/>
                <w:sz w:val="28"/>
                <w:szCs w:val="28"/>
              </w:rPr>
              <w:t>Інші</w:t>
            </w:r>
          </w:p>
        </w:tc>
        <w:tc>
          <w:tcPr>
            <w:tcW w:w="4320" w:type="dxa"/>
            <w:tcBorders>
              <w:top w:val="single" w:sz="4" w:space="0" w:color="000000"/>
              <w:left w:val="single" w:sz="4" w:space="0" w:color="000000"/>
              <w:bottom w:val="single" w:sz="4" w:space="0" w:color="000000"/>
              <w:right w:val="single" w:sz="4" w:space="0" w:color="000000"/>
            </w:tcBorders>
          </w:tcPr>
          <w:p w:rsidR="00227FEF" w:rsidRDefault="00494B9D">
            <w:pPr>
              <w:ind w:right="-617"/>
              <w:jc w:val="center"/>
              <w:rPr>
                <w:rFonts w:ascii="Times New Roman" w:eastAsia="Calibri" w:hAnsi="Times New Roman"/>
                <w:sz w:val="28"/>
                <w:szCs w:val="28"/>
              </w:rPr>
            </w:pPr>
            <w:r>
              <w:rPr>
                <w:rFonts w:ascii="Times New Roman" w:eastAsia="Calibri" w:hAnsi="Times New Roman"/>
                <w:sz w:val="28"/>
                <w:szCs w:val="28"/>
              </w:rPr>
              <w:t>11</w:t>
            </w:r>
          </w:p>
        </w:tc>
      </w:tr>
    </w:tbl>
    <w:p w:rsidR="00227FEF" w:rsidRDefault="00227FEF">
      <w:pPr>
        <w:spacing w:line="360" w:lineRule="auto"/>
        <w:jc w:val="both"/>
        <w:rPr>
          <w:rFonts w:ascii="Times New Roman" w:hAnsi="Times New Roman"/>
          <w:sz w:val="28"/>
          <w:szCs w:val="28"/>
        </w:rPr>
      </w:pPr>
    </w:p>
    <w:p w:rsidR="00227FEF" w:rsidRDefault="00494B9D">
      <w:pPr>
        <w:spacing w:line="360" w:lineRule="auto"/>
        <w:jc w:val="both"/>
        <w:rPr>
          <w:rFonts w:ascii="Times New Roman" w:hAnsi="Times New Roman"/>
          <w:sz w:val="28"/>
          <w:szCs w:val="28"/>
          <w:lang w:val="ru-RU"/>
        </w:rPr>
      </w:pPr>
      <w:r>
        <w:rPr>
          <w:rFonts w:ascii="Times New Roman" w:hAnsi="Times New Roman"/>
          <w:sz w:val="28"/>
          <w:szCs w:val="28"/>
          <w:lang w:val="ru-RU"/>
        </w:rPr>
        <w:tab/>
        <w:t>У результаті проведеного аналізу наявної містобудівної документації на території Тур’є-Реметівської територіальної громади можна зробити висновки про виявлені прогалини та ризики:</w:t>
      </w:r>
    </w:p>
    <w:p w:rsidR="00227FEF" w:rsidRDefault="00494B9D">
      <w:pPr>
        <w:pStyle w:val="a"/>
        <w:numPr>
          <w:ilvl w:val="0"/>
          <w:numId w:val="9"/>
        </w:numPr>
        <w:spacing w:after="0" w:line="360" w:lineRule="auto"/>
        <w:ind w:right="-617"/>
        <w:rPr>
          <w:rFonts w:ascii="Times New Roman" w:hAnsi="Times New Roman"/>
          <w:sz w:val="28"/>
          <w:szCs w:val="28"/>
          <w:lang w:val="ru-RU"/>
        </w:rPr>
      </w:pPr>
      <w:r>
        <w:rPr>
          <w:rFonts w:ascii="Times New Roman" w:hAnsi="Times New Roman"/>
          <w:i/>
          <w:sz w:val="28"/>
          <w:szCs w:val="28"/>
          <w:lang w:val="uk-UA"/>
        </w:rPr>
        <w:t>в</w:t>
      </w:r>
      <w:r>
        <w:rPr>
          <w:rFonts w:ascii="Times New Roman" w:hAnsi="Times New Roman"/>
          <w:i/>
          <w:sz w:val="28"/>
          <w:szCs w:val="28"/>
          <w:lang w:val="ru-RU"/>
        </w:rPr>
        <w:t>трата документації</w:t>
      </w:r>
      <w:r>
        <w:rPr>
          <w:rFonts w:ascii="Times New Roman" w:hAnsi="Times New Roman"/>
          <w:sz w:val="28"/>
          <w:szCs w:val="28"/>
          <w:lang w:val="ru-RU"/>
        </w:rPr>
        <w:t xml:space="preserve">: </w:t>
      </w:r>
      <w:r>
        <w:rPr>
          <w:rFonts w:ascii="Times New Roman" w:hAnsi="Times New Roman"/>
          <w:sz w:val="28"/>
          <w:szCs w:val="28"/>
          <w:lang w:val="uk-UA"/>
        </w:rPr>
        <w:t>д</w:t>
      </w:r>
      <w:r>
        <w:rPr>
          <w:rFonts w:ascii="Times New Roman" w:hAnsi="Times New Roman"/>
          <w:sz w:val="28"/>
          <w:szCs w:val="28"/>
          <w:lang w:val="ru-RU"/>
        </w:rPr>
        <w:t xml:space="preserve">ля сіл Свалявка та Завбуч радянські </w:t>
      </w:r>
      <w:r>
        <w:rPr>
          <w:rFonts w:ascii="Times New Roman" w:hAnsi="Times New Roman"/>
          <w:sz w:val="28"/>
          <w:szCs w:val="28"/>
          <w:lang w:val="uk-UA"/>
        </w:rPr>
        <w:t>Генеральні плани</w:t>
      </w:r>
      <w:r>
        <w:rPr>
          <w:rFonts w:ascii="Times New Roman" w:hAnsi="Times New Roman"/>
          <w:sz w:val="28"/>
          <w:szCs w:val="28"/>
          <w:lang w:val="ru-RU"/>
        </w:rPr>
        <w:t xml:space="preserve"> відсутні у фізичних архівах</w:t>
      </w:r>
      <w:r>
        <w:rPr>
          <w:rFonts w:ascii="Times New Roman" w:hAnsi="Times New Roman"/>
          <w:sz w:val="28"/>
          <w:szCs w:val="28"/>
          <w:lang w:val="uk-UA"/>
        </w:rPr>
        <w:t>;</w:t>
      </w:r>
    </w:p>
    <w:p w:rsidR="00227FEF" w:rsidRDefault="00494B9D">
      <w:pPr>
        <w:pStyle w:val="a"/>
        <w:numPr>
          <w:ilvl w:val="0"/>
          <w:numId w:val="9"/>
        </w:numPr>
        <w:spacing w:after="0" w:line="360" w:lineRule="auto"/>
        <w:ind w:right="-617"/>
        <w:rPr>
          <w:rFonts w:ascii="Times New Roman" w:hAnsi="Times New Roman"/>
          <w:sz w:val="28"/>
          <w:szCs w:val="28"/>
          <w:lang w:val="ru-RU"/>
        </w:rPr>
      </w:pPr>
      <w:r>
        <w:rPr>
          <w:rFonts w:ascii="Times New Roman" w:hAnsi="Times New Roman"/>
          <w:i/>
          <w:sz w:val="28"/>
          <w:szCs w:val="28"/>
          <w:lang w:val="ru-RU"/>
        </w:rPr>
        <w:t xml:space="preserve">відсутність </w:t>
      </w:r>
      <w:r>
        <w:rPr>
          <w:rFonts w:ascii="Times New Roman" w:hAnsi="Times New Roman"/>
          <w:i/>
          <w:sz w:val="28"/>
          <w:szCs w:val="28"/>
          <w:lang w:val="uk-UA"/>
        </w:rPr>
        <w:t>будьякої документації</w:t>
      </w:r>
      <w:r>
        <w:rPr>
          <w:rFonts w:ascii="Times New Roman" w:hAnsi="Times New Roman"/>
          <w:sz w:val="28"/>
          <w:szCs w:val="28"/>
          <w:lang w:val="ru-RU"/>
        </w:rPr>
        <w:t xml:space="preserve">: </w:t>
      </w:r>
      <w:r>
        <w:rPr>
          <w:rFonts w:ascii="Times New Roman" w:hAnsi="Times New Roman"/>
          <w:sz w:val="28"/>
          <w:szCs w:val="28"/>
          <w:lang w:val="uk-UA"/>
        </w:rPr>
        <w:t>с</w:t>
      </w:r>
      <w:r>
        <w:rPr>
          <w:rFonts w:ascii="Times New Roman" w:hAnsi="Times New Roman"/>
          <w:sz w:val="28"/>
          <w:szCs w:val="28"/>
          <w:lang w:val="ru-RU"/>
        </w:rPr>
        <w:t>ела Липовець та Лікіцари не мають жодної документації, що зупиняє їх розвиток;</w:t>
      </w:r>
    </w:p>
    <w:p w:rsidR="00227FEF" w:rsidRDefault="00494B9D">
      <w:pPr>
        <w:pStyle w:val="a"/>
        <w:numPr>
          <w:ilvl w:val="0"/>
          <w:numId w:val="9"/>
        </w:numPr>
        <w:spacing w:after="0" w:line="360" w:lineRule="auto"/>
        <w:ind w:right="-617"/>
        <w:rPr>
          <w:rFonts w:ascii="Times New Roman" w:hAnsi="Times New Roman"/>
          <w:sz w:val="28"/>
          <w:szCs w:val="28"/>
          <w:lang w:val="ru-RU"/>
        </w:rPr>
      </w:pPr>
      <w:r>
        <w:rPr>
          <w:rFonts w:ascii="Times New Roman" w:hAnsi="Times New Roman"/>
          <w:i/>
          <w:sz w:val="28"/>
          <w:szCs w:val="28"/>
          <w:lang w:val="ru-RU"/>
        </w:rPr>
        <w:t>застарілість даних</w:t>
      </w:r>
      <w:r>
        <w:rPr>
          <w:rFonts w:ascii="Times New Roman" w:hAnsi="Times New Roman"/>
          <w:sz w:val="28"/>
          <w:szCs w:val="28"/>
          <w:lang w:val="ru-RU"/>
        </w:rPr>
        <w:t>: Радянські плани 70-х років не враховують сучасні екологічні вимоги та межі власності;</w:t>
      </w:r>
    </w:p>
    <w:p w:rsidR="00227FEF" w:rsidRDefault="00494B9D">
      <w:pPr>
        <w:pStyle w:val="ad"/>
        <w:spacing w:after="0" w:line="360" w:lineRule="auto"/>
      </w:pPr>
      <w:r>
        <w:rPr>
          <w:b/>
          <w:bCs/>
          <w:i/>
          <w:sz w:val="28"/>
          <w:szCs w:val="28"/>
        </w:rPr>
        <w:t>Загальний ризик</w:t>
      </w:r>
      <w:r>
        <w:rPr>
          <w:b/>
          <w:bCs/>
          <w:sz w:val="28"/>
          <w:szCs w:val="28"/>
        </w:rPr>
        <w:t>:</w:t>
      </w:r>
      <w:r>
        <w:rPr>
          <w:sz w:val="28"/>
          <w:szCs w:val="28"/>
        </w:rPr>
        <w:t xml:space="preserve"> 15 з 17 населених пунктів не мають актуальних (сучасних) генпланів. Відповідно до ЗУ «Про регулювання містобудівної діяльності», пріоритетним завданням у даній ситуації є розроблення </w:t>
      </w:r>
      <w:r>
        <w:rPr>
          <w:bCs/>
          <w:sz w:val="28"/>
          <w:szCs w:val="28"/>
        </w:rPr>
        <w:t>Комплексного плану просторового розвитку (КППР)</w:t>
      </w:r>
      <w:r>
        <w:rPr>
          <w:sz w:val="28"/>
          <w:szCs w:val="28"/>
        </w:rPr>
        <w:t xml:space="preserve"> всієї громади.</w:t>
      </w:r>
    </w:p>
    <w:p w:rsidR="00227FEF" w:rsidRDefault="00494B9D">
      <w:pPr>
        <w:pStyle w:val="a"/>
        <w:numPr>
          <w:ilvl w:val="0"/>
          <w:numId w:val="0"/>
        </w:numPr>
        <w:spacing w:after="0" w:line="360" w:lineRule="auto"/>
        <w:ind w:right="-617" w:firstLine="851"/>
        <w:rPr>
          <w:rFonts w:ascii="Times New Roman" w:hAnsi="Times New Roman"/>
          <w:sz w:val="28"/>
          <w:szCs w:val="28"/>
          <w:lang w:val="uk-UA"/>
        </w:rPr>
      </w:pPr>
      <w:r>
        <w:rPr>
          <w:rFonts w:ascii="Times New Roman" w:hAnsi="Times New Roman"/>
          <w:sz w:val="28"/>
          <w:szCs w:val="28"/>
          <w:lang w:val="uk-UA"/>
        </w:rPr>
        <w:t>Рекомендації:</w:t>
      </w:r>
    </w:p>
    <w:p w:rsidR="00227FEF" w:rsidRDefault="00494B9D">
      <w:pPr>
        <w:pStyle w:val="a"/>
        <w:numPr>
          <w:ilvl w:val="0"/>
          <w:numId w:val="15"/>
        </w:numPr>
        <w:spacing w:line="360" w:lineRule="auto"/>
        <w:ind w:right="-617"/>
        <w:rPr>
          <w:rFonts w:ascii="Times New Roman" w:hAnsi="Times New Roman"/>
          <w:sz w:val="28"/>
          <w:szCs w:val="28"/>
          <w:lang w:val="ru-RU"/>
        </w:rPr>
      </w:pPr>
      <w:r>
        <w:rPr>
          <w:rFonts w:ascii="Times New Roman" w:hAnsi="Times New Roman"/>
          <w:sz w:val="28"/>
          <w:szCs w:val="28"/>
          <w:lang w:val="ru-RU"/>
        </w:rPr>
        <w:t>розпочати підготовку до розроблення Комплексного плану просторового розвитку (КППР) громади;</w:t>
      </w:r>
    </w:p>
    <w:p w:rsidR="00227FEF" w:rsidRDefault="00494B9D">
      <w:pPr>
        <w:pStyle w:val="a"/>
        <w:numPr>
          <w:ilvl w:val="0"/>
          <w:numId w:val="15"/>
        </w:numPr>
        <w:spacing w:line="360" w:lineRule="auto"/>
        <w:ind w:right="-617"/>
        <w:rPr>
          <w:rFonts w:ascii="Times New Roman" w:hAnsi="Times New Roman"/>
          <w:sz w:val="28"/>
          <w:szCs w:val="28"/>
          <w:lang w:val="ru-RU"/>
        </w:rPr>
      </w:pPr>
      <w:r>
        <w:rPr>
          <w:rFonts w:ascii="Times New Roman" w:hAnsi="Times New Roman"/>
          <w:sz w:val="28"/>
          <w:szCs w:val="28"/>
          <w:lang w:val="ru-RU"/>
        </w:rPr>
        <w:t>провести інвентаризацію та оцифрування наявних радянських ГП;</w:t>
      </w:r>
    </w:p>
    <w:p w:rsidR="00227FEF" w:rsidRDefault="00494B9D">
      <w:pPr>
        <w:pStyle w:val="a"/>
        <w:numPr>
          <w:ilvl w:val="0"/>
          <w:numId w:val="15"/>
        </w:numPr>
        <w:spacing w:line="360" w:lineRule="auto"/>
        <w:ind w:right="-617"/>
        <w:rPr>
          <w:rFonts w:ascii="Times New Roman" w:hAnsi="Times New Roman"/>
          <w:sz w:val="28"/>
          <w:szCs w:val="28"/>
          <w:lang w:val="ru-RU"/>
        </w:rPr>
      </w:pPr>
      <w:r>
        <w:rPr>
          <w:rFonts w:ascii="Times New Roman" w:hAnsi="Times New Roman"/>
          <w:sz w:val="28"/>
          <w:szCs w:val="28"/>
          <w:lang w:val="ru-RU"/>
        </w:rPr>
        <w:t>замовити розроблення містобудівної документації для с</w:t>
      </w:r>
      <w:r>
        <w:rPr>
          <w:rFonts w:ascii="Times New Roman" w:hAnsi="Times New Roman"/>
          <w:sz w:val="28"/>
          <w:szCs w:val="28"/>
          <w:lang w:val="uk-UA"/>
        </w:rPr>
        <w:t>іл</w:t>
      </w:r>
      <w:r>
        <w:rPr>
          <w:rFonts w:ascii="Times New Roman" w:hAnsi="Times New Roman"/>
          <w:sz w:val="28"/>
          <w:szCs w:val="28"/>
          <w:lang w:val="ru-RU"/>
        </w:rPr>
        <w:t xml:space="preserve"> Липовець</w:t>
      </w:r>
      <w:r>
        <w:rPr>
          <w:rFonts w:ascii="Times New Roman" w:hAnsi="Times New Roman"/>
          <w:sz w:val="28"/>
          <w:szCs w:val="28"/>
          <w:lang w:val="uk-UA"/>
        </w:rPr>
        <w:t xml:space="preserve"> та Лікіцари,</w:t>
      </w:r>
      <w:r>
        <w:rPr>
          <w:rFonts w:ascii="Times New Roman" w:hAnsi="Times New Roman"/>
          <w:sz w:val="28"/>
          <w:szCs w:val="28"/>
          <w:lang w:val="ru-RU"/>
        </w:rPr>
        <w:t xml:space="preserve"> як найбільш критичної зони;</w:t>
      </w:r>
    </w:p>
    <w:p w:rsidR="00227FEF" w:rsidRDefault="00494B9D">
      <w:pPr>
        <w:pStyle w:val="a"/>
        <w:numPr>
          <w:ilvl w:val="0"/>
          <w:numId w:val="15"/>
        </w:numPr>
        <w:spacing w:line="360" w:lineRule="auto"/>
        <w:rPr>
          <w:rFonts w:ascii="Times New Roman" w:hAnsi="Times New Roman"/>
          <w:sz w:val="28"/>
          <w:szCs w:val="28"/>
          <w:lang w:val="ru-RU"/>
        </w:rPr>
      </w:pPr>
      <w:r>
        <w:rPr>
          <w:rFonts w:ascii="Times New Roman" w:hAnsi="Times New Roman"/>
          <w:sz w:val="28"/>
          <w:szCs w:val="28"/>
          <w:lang w:val="ru-RU"/>
        </w:rPr>
        <w:t>надіслати запити до архівних установ для пошуку ГП сіл Свалявка та Завбуч.</w:t>
      </w:r>
    </w:p>
    <w:p w:rsidR="00227FEF" w:rsidRDefault="00494B9D">
      <w:pPr>
        <w:jc w:val="both"/>
        <w:rPr>
          <w:rFonts w:ascii="Times New Roman" w:hAnsi="Times New Roman"/>
          <w:b/>
          <w:sz w:val="28"/>
          <w:szCs w:val="28"/>
          <w:lang w:val="uk-UA"/>
        </w:rPr>
      </w:pPr>
      <w:r>
        <w:rPr>
          <w:rFonts w:ascii="Times New Roman" w:hAnsi="Times New Roman"/>
          <w:b/>
          <w:sz w:val="28"/>
          <w:szCs w:val="28"/>
          <w:lang w:val="uk-UA"/>
        </w:rPr>
        <w:t>2.4. Інформація щодо відповідності регіональній стратегії розвитку</w:t>
      </w:r>
    </w:p>
    <w:p w:rsidR="00227FEF" w:rsidRDefault="00227FEF">
      <w:pPr>
        <w:jc w:val="both"/>
        <w:rPr>
          <w:rFonts w:ascii="Times New Roman" w:hAnsi="Times New Roman"/>
          <w:b/>
          <w:sz w:val="28"/>
          <w:szCs w:val="28"/>
          <w:lang w:val="uk-UA"/>
        </w:rPr>
      </w:pPr>
    </w:p>
    <w:p w:rsidR="00227FEF" w:rsidRDefault="00494B9D">
      <w:pPr>
        <w:spacing w:line="360" w:lineRule="auto"/>
        <w:jc w:val="both"/>
        <w:rPr>
          <w:rFonts w:ascii="Times New Roman" w:hAnsi="Times New Roman"/>
          <w:sz w:val="28"/>
          <w:szCs w:val="28"/>
          <w:highlight w:val="yellow"/>
        </w:rPr>
      </w:pPr>
      <w:r>
        <w:rPr>
          <w:rFonts w:ascii="Times New Roman" w:hAnsi="Times New Roman"/>
          <w:sz w:val="28"/>
          <w:szCs w:val="28"/>
          <w:lang w:val="ru-RU"/>
        </w:rPr>
        <w:tab/>
        <w:t>Базовим документом просторового планування реґіону є Схема планування території Закарпатської області розроблена ДП «Український державний науково-</w:t>
      </w:r>
      <w:r>
        <w:rPr>
          <w:rFonts w:ascii="Times New Roman" w:hAnsi="Times New Roman"/>
          <w:sz w:val="28"/>
          <w:szCs w:val="28"/>
          <w:lang w:val="ru-RU"/>
        </w:rPr>
        <w:lastRenderedPageBreak/>
        <w:t xml:space="preserve">дослідний інститут проектування міст «ДІПРОМІСТО» імені Ю.М. Білоконя» та затверджена рішенням сесії Закарпатської обласної ради від 17.05.2013 №731. Схема розроблена на розрахунковий період до 2031 року) зі змінами від 2020 року. </w:t>
      </w:r>
      <w:r>
        <w:rPr>
          <w:rFonts w:ascii="Times New Roman" w:hAnsi="Times New Roman"/>
          <w:sz w:val="28"/>
          <w:szCs w:val="28"/>
        </w:rPr>
        <w:t xml:space="preserve">У цій схемі здійснено функціональне зонування територій області. </w:t>
      </w:r>
      <w:r>
        <w:rPr>
          <w:rFonts w:ascii="Times New Roman" w:hAnsi="Times New Roman"/>
          <w:sz w:val="28"/>
          <w:szCs w:val="28"/>
        </w:rPr>
        <w:tab/>
      </w:r>
    </w:p>
    <w:p w:rsidR="00227FEF" w:rsidRDefault="00494B9D">
      <w:pPr>
        <w:spacing w:line="360" w:lineRule="auto"/>
        <w:jc w:val="both"/>
        <w:rPr>
          <w:rFonts w:ascii="Times New Roman" w:hAnsi="Times New Roman"/>
          <w:sz w:val="28"/>
          <w:szCs w:val="28"/>
        </w:rPr>
      </w:pPr>
      <w:r>
        <w:rPr>
          <w:noProof/>
          <w:lang w:val="uk-UA" w:eastAsia="uk-UA"/>
        </w:rPr>
        <w:drawing>
          <wp:inline distT="0" distB="0" distL="0" distR="0">
            <wp:extent cx="5934075" cy="39243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7"/>
                    <a:srcRect l="-6" t="-9" r="-6" b="-9"/>
                    <a:stretch>
                      <a:fillRect/>
                    </a:stretch>
                  </pic:blipFill>
                  <pic:spPr bwMode="auto">
                    <a:xfrm>
                      <a:off x="0" y="0"/>
                      <a:ext cx="5934075" cy="3924300"/>
                    </a:xfrm>
                    <a:prstGeom prst="rect">
                      <a:avLst/>
                    </a:prstGeom>
                  </pic:spPr>
                </pic:pic>
              </a:graphicData>
            </a:graphic>
          </wp:inline>
        </w:drawing>
      </w:r>
    </w:p>
    <w:p w:rsidR="00227FEF" w:rsidRDefault="00494B9D">
      <w:pPr>
        <w:spacing w:line="360" w:lineRule="auto"/>
        <w:jc w:val="both"/>
        <w:rPr>
          <w:rFonts w:ascii="Times New Roman" w:hAnsi="Times New Roman"/>
          <w:sz w:val="28"/>
          <w:szCs w:val="28"/>
          <w:vertAlign w:val="superscript"/>
          <w:lang w:val="ru-RU"/>
        </w:rPr>
      </w:pPr>
      <w:r w:rsidRPr="005E48D4">
        <w:rPr>
          <w:rFonts w:ascii="Times New Roman" w:eastAsia="Times New Roman" w:hAnsi="Times New Roman"/>
          <w:sz w:val="28"/>
          <w:szCs w:val="28"/>
          <w:lang w:val="ru-RU"/>
        </w:rPr>
        <w:t xml:space="preserve"> </w:t>
      </w:r>
      <w:r>
        <w:rPr>
          <w:rFonts w:ascii="Times New Roman" w:hAnsi="Times New Roman"/>
          <w:sz w:val="28"/>
          <w:szCs w:val="28"/>
          <w:lang w:val="ru-RU"/>
        </w:rPr>
        <w:t xml:space="preserve">Рисунок </w:t>
      </w:r>
      <w:r>
        <w:rPr>
          <w:rFonts w:ascii="Times New Roman" w:hAnsi="Times New Roman"/>
          <w:sz w:val="28"/>
          <w:szCs w:val="28"/>
          <w:lang w:val="uk-UA"/>
        </w:rPr>
        <w:t>1</w:t>
      </w:r>
      <w:r>
        <w:rPr>
          <w:rFonts w:ascii="Times New Roman" w:hAnsi="Times New Roman"/>
          <w:sz w:val="28"/>
          <w:szCs w:val="28"/>
          <w:lang w:val="ru-RU"/>
        </w:rPr>
        <w:t xml:space="preserve">. Тур’є-Реметівська ТГ на Схемі планування території Закарпатської області </w:t>
      </w:r>
      <w:r>
        <w:rPr>
          <w:rFonts w:ascii="Times New Roman" w:hAnsi="Times New Roman"/>
          <w:sz w:val="28"/>
          <w:szCs w:val="28"/>
          <w:lang w:val="uk-UA"/>
        </w:rPr>
        <w:t>П</w:t>
      </w:r>
      <w:r>
        <w:rPr>
          <w:rFonts w:ascii="Times New Roman" w:hAnsi="Times New Roman"/>
          <w:sz w:val="28"/>
          <w:szCs w:val="28"/>
          <w:lang w:val="ru-RU"/>
        </w:rPr>
        <w:t xml:space="preserve">роектний план </w:t>
      </w:r>
      <w:r>
        <w:rPr>
          <w:rStyle w:val="a6"/>
          <w:rFonts w:ascii="Times New Roman" w:hAnsi="Times New Roman"/>
          <w:sz w:val="28"/>
          <w:szCs w:val="28"/>
        </w:rPr>
        <w:footnoteReference w:id="1"/>
      </w:r>
    </w:p>
    <w:p w:rsidR="00227FEF" w:rsidRDefault="00494B9D">
      <w:pPr>
        <w:spacing w:line="360" w:lineRule="auto"/>
        <w:jc w:val="both"/>
        <w:rPr>
          <w:rFonts w:ascii="Times New Roman" w:hAnsi="Times New Roman"/>
          <w:sz w:val="28"/>
          <w:szCs w:val="28"/>
          <w:highlight w:val="yellow"/>
          <w:lang w:val="ru-RU"/>
        </w:rPr>
      </w:pPr>
      <w:r>
        <w:rPr>
          <w:rFonts w:ascii="Times New Roman" w:hAnsi="Times New Roman"/>
          <w:sz w:val="28"/>
          <w:szCs w:val="28"/>
          <w:lang w:val="ru-RU"/>
        </w:rPr>
        <w:t xml:space="preserve">Відповідно до Схеми планування території Закарпатської області </w:t>
      </w:r>
      <w:r>
        <w:rPr>
          <w:rFonts w:ascii="Times New Roman" w:hAnsi="Times New Roman"/>
          <w:sz w:val="28"/>
          <w:szCs w:val="28"/>
          <w:lang w:val="uk-UA"/>
        </w:rPr>
        <w:t>П</w:t>
      </w:r>
      <w:r>
        <w:rPr>
          <w:rFonts w:ascii="Times New Roman" w:hAnsi="Times New Roman"/>
          <w:sz w:val="28"/>
          <w:szCs w:val="28"/>
          <w:lang w:val="ru-RU"/>
        </w:rPr>
        <w:t>роектного плану</w:t>
      </w:r>
      <w:r>
        <w:rPr>
          <w:rFonts w:ascii="Times New Roman" w:hAnsi="Times New Roman"/>
          <w:sz w:val="28"/>
          <w:szCs w:val="28"/>
          <w:lang w:val="uk-UA"/>
        </w:rPr>
        <w:t xml:space="preserve"> </w:t>
      </w:r>
      <w:r>
        <w:rPr>
          <w:rFonts w:ascii="Times New Roman" w:hAnsi="Times New Roman"/>
          <w:sz w:val="28"/>
          <w:szCs w:val="28"/>
          <w:lang w:val="ru-RU"/>
        </w:rPr>
        <w:t xml:space="preserve">(рис. </w:t>
      </w:r>
      <w:r>
        <w:rPr>
          <w:rFonts w:ascii="Times New Roman" w:hAnsi="Times New Roman"/>
          <w:sz w:val="28"/>
          <w:szCs w:val="28"/>
          <w:lang w:val="uk-UA"/>
        </w:rPr>
        <w:t>1</w:t>
      </w:r>
      <w:r>
        <w:rPr>
          <w:rFonts w:ascii="Times New Roman" w:hAnsi="Times New Roman"/>
          <w:sz w:val="28"/>
          <w:szCs w:val="28"/>
          <w:lang w:val="ru-RU"/>
        </w:rPr>
        <w:t>). на території громади передбачено розвиток таких функціональних зон як:</w:t>
      </w:r>
    </w:p>
    <w:p w:rsidR="00227FEF" w:rsidRDefault="00494B9D">
      <w:pPr>
        <w:numPr>
          <w:ilvl w:val="0"/>
          <w:numId w:val="14"/>
        </w:numPr>
        <w:spacing w:line="360" w:lineRule="auto"/>
        <w:jc w:val="both"/>
        <w:rPr>
          <w:rFonts w:ascii="Times New Roman" w:hAnsi="Times New Roman"/>
          <w:sz w:val="28"/>
          <w:szCs w:val="28"/>
          <w:lang w:val="ru-RU"/>
        </w:rPr>
      </w:pPr>
      <w:r>
        <w:rPr>
          <w:rFonts w:ascii="Times New Roman" w:hAnsi="Times New Roman"/>
          <w:sz w:val="28"/>
          <w:szCs w:val="28"/>
          <w:lang w:val="ru-RU"/>
        </w:rPr>
        <w:t xml:space="preserve">території рекреаційного-туристичного спрямування. Зона охоплює території Тур’я Полянського, Тур’я Бистрянського, </w:t>
      </w:r>
      <w:proofErr w:type="gramStart"/>
      <w:r>
        <w:rPr>
          <w:rFonts w:ascii="Times New Roman" w:hAnsi="Times New Roman"/>
          <w:sz w:val="28"/>
          <w:szCs w:val="28"/>
          <w:lang w:val="ru-RU"/>
        </w:rPr>
        <w:t>Порошківського,  Тур’я</w:t>
      </w:r>
      <w:proofErr w:type="gramEnd"/>
      <w:r>
        <w:rPr>
          <w:rFonts w:ascii="Times New Roman" w:hAnsi="Times New Roman"/>
          <w:sz w:val="28"/>
          <w:szCs w:val="28"/>
          <w:lang w:val="ru-RU"/>
        </w:rPr>
        <w:t xml:space="preserve"> Пасіцького, Турицького старостинських округів із центром у с. Тур’я Поляна; </w:t>
      </w:r>
    </w:p>
    <w:p w:rsidR="00227FEF" w:rsidRDefault="00494B9D">
      <w:pPr>
        <w:numPr>
          <w:ilvl w:val="0"/>
          <w:numId w:val="14"/>
        </w:numPr>
        <w:spacing w:line="360" w:lineRule="auto"/>
        <w:jc w:val="both"/>
        <w:rPr>
          <w:rFonts w:ascii="Times New Roman" w:hAnsi="Times New Roman"/>
          <w:sz w:val="28"/>
          <w:szCs w:val="28"/>
          <w:lang w:val="ru-RU"/>
        </w:rPr>
      </w:pPr>
      <w:r>
        <w:rPr>
          <w:rFonts w:ascii="Times New Roman" w:hAnsi="Times New Roman"/>
          <w:sz w:val="28"/>
          <w:szCs w:val="28"/>
          <w:lang w:val="ru-RU"/>
        </w:rPr>
        <w:t>території гірсько-рекреаційних комплексів. З</w:t>
      </w:r>
      <w:r w:rsidR="001E58FC">
        <w:rPr>
          <w:rFonts w:ascii="Times New Roman" w:hAnsi="Times New Roman"/>
          <w:sz w:val="28"/>
          <w:szCs w:val="28"/>
          <w:lang w:val="ru-RU"/>
        </w:rPr>
        <w:t>она охоплює території Туричківського</w:t>
      </w:r>
      <w:r>
        <w:rPr>
          <w:rFonts w:ascii="Times New Roman" w:hAnsi="Times New Roman"/>
          <w:sz w:val="28"/>
          <w:szCs w:val="28"/>
          <w:lang w:val="ru-RU"/>
        </w:rPr>
        <w:t xml:space="preserve"> старостинського округу з</w:t>
      </w:r>
      <w:r w:rsidR="001E58FC">
        <w:rPr>
          <w:rFonts w:ascii="Times New Roman" w:hAnsi="Times New Roman"/>
          <w:sz w:val="28"/>
          <w:szCs w:val="28"/>
          <w:lang w:val="ru-RU"/>
        </w:rPr>
        <w:t xml:space="preserve"> </w:t>
      </w:r>
      <w:r>
        <w:rPr>
          <w:rFonts w:ascii="Times New Roman" w:hAnsi="Times New Roman"/>
          <w:sz w:val="28"/>
          <w:szCs w:val="28"/>
          <w:lang w:val="ru-RU"/>
        </w:rPr>
        <w:t xml:space="preserve">центром у с. Лікіцари; </w:t>
      </w:r>
    </w:p>
    <w:p w:rsidR="00227FEF" w:rsidRDefault="00494B9D">
      <w:pPr>
        <w:numPr>
          <w:ilvl w:val="0"/>
          <w:numId w:val="14"/>
        </w:numPr>
        <w:spacing w:line="360" w:lineRule="auto"/>
        <w:jc w:val="both"/>
        <w:rPr>
          <w:rFonts w:ascii="Times New Roman" w:hAnsi="Times New Roman"/>
          <w:sz w:val="28"/>
          <w:szCs w:val="28"/>
          <w:lang w:val="ru-RU"/>
        </w:rPr>
      </w:pPr>
      <w:r>
        <w:rPr>
          <w:rFonts w:ascii="Times New Roman" w:hAnsi="Times New Roman"/>
          <w:sz w:val="28"/>
          <w:szCs w:val="28"/>
          <w:lang w:val="ru-RU"/>
        </w:rPr>
        <w:lastRenderedPageBreak/>
        <w:t xml:space="preserve">території переважно лісогосподарського </w:t>
      </w:r>
      <w:proofErr w:type="gramStart"/>
      <w:r>
        <w:rPr>
          <w:rFonts w:ascii="Times New Roman" w:hAnsi="Times New Roman"/>
          <w:sz w:val="28"/>
          <w:szCs w:val="28"/>
          <w:lang w:val="ru-RU"/>
        </w:rPr>
        <w:t>використання  (</w:t>
      </w:r>
      <w:proofErr w:type="gramEnd"/>
      <w:r>
        <w:rPr>
          <w:rFonts w:ascii="Times New Roman" w:hAnsi="Times New Roman"/>
          <w:sz w:val="28"/>
          <w:szCs w:val="28"/>
          <w:lang w:val="ru-RU"/>
        </w:rPr>
        <w:t xml:space="preserve">значна частина території громади). </w:t>
      </w:r>
    </w:p>
    <w:p w:rsidR="00227FEF" w:rsidRPr="005E48D4" w:rsidRDefault="00494B9D">
      <w:pPr>
        <w:spacing w:line="360" w:lineRule="auto"/>
        <w:jc w:val="both"/>
        <w:rPr>
          <w:lang w:val="ru-RU"/>
        </w:rPr>
      </w:pPr>
      <w:r>
        <w:rPr>
          <w:rFonts w:ascii="Times New Roman" w:hAnsi="Times New Roman"/>
          <w:sz w:val="28"/>
          <w:szCs w:val="28"/>
          <w:lang w:val="ru-RU"/>
        </w:rPr>
        <w:tab/>
        <w:t>Тобто, економічне зростання Тур’є-Реметівської ТГ в перспективі визначатиметь</w:t>
      </w:r>
      <w:r w:rsidR="001E58FC">
        <w:rPr>
          <w:rFonts w:ascii="Times New Roman" w:hAnsi="Times New Roman"/>
          <w:sz w:val="28"/>
          <w:szCs w:val="28"/>
          <w:lang w:val="ru-RU"/>
        </w:rPr>
        <w:t>ся рівнем розвитку рекреаційно</w:t>
      </w:r>
      <w:r>
        <w:rPr>
          <w:rFonts w:ascii="Times New Roman" w:hAnsi="Times New Roman"/>
          <w:sz w:val="28"/>
          <w:szCs w:val="28"/>
          <w:lang w:val="ru-RU"/>
        </w:rPr>
        <w:t xml:space="preserve">-туристичного та гірсько-рекреаційного </w:t>
      </w:r>
      <w:proofErr w:type="gramStart"/>
      <w:r>
        <w:rPr>
          <w:rFonts w:ascii="Times New Roman" w:hAnsi="Times New Roman"/>
          <w:sz w:val="28"/>
          <w:szCs w:val="28"/>
          <w:lang w:val="ru-RU"/>
        </w:rPr>
        <w:t>потенціалів,  лісового</w:t>
      </w:r>
      <w:proofErr w:type="gramEnd"/>
      <w:r>
        <w:rPr>
          <w:rFonts w:ascii="Times New Roman" w:hAnsi="Times New Roman"/>
          <w:sz w:val="28"/>
          <w:szCs w:val="28"/>
          <w:lang w:val="ru-RU"/>
        </w:rPr>
        <w:t xml:space="preserve">  господарства. </w:t>
      </w:r>
    </w:p>
    <w:p w:rsidR="00227FEF" w:rsidRPr="005E48D4" w:rsidRDefault="00494B9D">
      <w:pPr>
        <w:spacing w:line="360" w:lineRule="auto"/>
        <w:jc w:val="both"/>
        <w:rPr>
          <w:lang w:val="ru-RU"/>
        </w:rPr>
      </w:pPr>
      <w:r>
        <w:rPr>
          <w:rFonts w:ascii="Times New Roman" w:hAnsi="Times New Roman"/>
          <w:sz w:val="28"/>
          <w:szCs w:val="28"/>
          <w:lang w:val="ru-RU"/>
        </w:rPr>
        <w:tab/>
        <w:t xml:space="preserve">У відповідності до креслення Схеми планування території Закарпатської області </w:t>
      </w:r>
      <w:r>
        <w:rPr>
          <w:rFonts w:ascii="Times New Roman" w:hAnsi="Times New Roman"/>
          <w:sz w:val="28"/>
          <w:szCs w:val="28"/>
          <w:lang w:val="uk-UA"/>
        </w:rPr>
        <w:t>С</w:t>
      </w:r>
      <w:r>
        <w:rPr>
          <w:rFonts w:ascii="Times New Roman" w:hAnsi="Times New Roman"/>
          <w:sz w:val="28"/>
          <w:szCs w:val="28"/>
          <w:lang w:val="ru-RU"/>
        </w:rPr>
        <w:t xml:space="preserve">хеми електропостачання </w:t>
      </w:r>
      <w:proofErr w:type="gramStart"/>
      <w:r>
        <w:rPr>
          <w:rFonts w:ascii="Times New Roman" w:hAnsi="Times New Roman"/>
          <w:sz w:val="28"/>
          <w:szCs w:val="28"/>
          <w:lang w:val="ru-RU"/>
        </w:rPr>
        <w:t>( р</w:t>
      </w:r>
      <w:r>
        <w:rPr>
          <w:rFonts w:ascii="Times New Roman" w:hAnsi="Times New Roman"/>
          <w:sz w:val="28"/>
          <w:szCs w:val="28"/>
          <w:lang w:val="uk-UA"/>
        </w:rPr>
        <w:t>и</w:t>
      </w:r>
      <w:r>
        <w:rPr>
          <w:rFonts w:ascii="Times New Roman" w:hAnsi="Times New Roman"/>
          <w:sz w:val="28"/>
          <w:szCs w:val="28"/>
          <w:lang w:val="ru-RU"/>
        </w:rPr>
        <w:t>с.</w:t>
      </w:r>
      <w:proofErr w:type="gramEnd"/>
      <w:r>
        <w:rPr>
          <w:rFonts w:ascii="Times New Roman" w:hAnsi="Times New Roman"/>
          <w:sz w:val="28"/>
          <w:szCs w:val="28"/>
          <w:lang w:val="ru-RU"/>
        </w:rPr>
        <w:t xml:space="preserve"> </w:t>
      </w:r>
      <w:r>
        <w:rPr>
          <w:rFonts w:ascii="Times New Roman" w:hAnsi="Times New Roman"/>
          <w:sz w:val="28"/>
          <w:szCs w:val="28"/>
          <w:lang w:val="uk-UA"/>
        </w:rPr>
        <w:t>2</w:t>
      </w:r>
      <w:r>
        <w:rPr>
          <w:rFonts w:ascii="Times New Roman" w:hAnsi="Times New Roman"/>
          <w:sz w:val="28"/>
          <w:szCs w:val="28"/>
          <w:lang w:val="ru-RU"/>
        </w:rPr>
        <w:t>)</w:t>
      </w:r>
      <w:r>
        <w:rPr>
          <w:rFonts w:ascii="Times New Roman" w:hAnsi="Times New Roman"/>
          <w:sz w:val="28"/>
          <w:szCs w:val="28"/>
          <w:lang w:val="uk-UA"/>
        </w:rPr>
        <w:t xml:space="preserve"> </w:t>
      </w:r>
      <w:r>
        <w:rPr>
          <w:rFonts w:ascii="Times New Roman" w:hAnsi="Times New Roman"/>
          <w:sz w:val="28"/>
          <w:szCs w:val="28"/>
          <w:lang w:val="ru-RU"/>
        </w:rPr>
        <w:t xml:space="preserve">у межах громади  відбувається  активний  розвиток вітрової енергетики </w:t>
      </w:r>
    </w:p>
    <w:p w:rsidR="00227FEF" w:rsidRDefault="00494B9D">
      <w:pPr>
        <w:spacing w:line="360" w:lineRule="auto"/>
        <w:jc w:val="both"/>
        <w:rPr>
          <w:rFonts w:ascii="Times New Roman" w:hAnsi="Times New Roman"/>
          <w:sz w:val="28"/>
          <w:szCs w:val="28"/>
        </w:rPr>
      </w:pPr>
      <w:r>
        <w:rPr>
          <w:noProof/>
          <w:lang w:val="uk-UA" w:eastAsia="uk-UA"/>
        </w:rPr>
        <w:drawing>
          <wp:inline distT="0" distB="0" distL="0" distR="0">
            <wp:extent cx="6019800" cy="3600450"/>
            <wp:effectExtent l="0" t="0" r="0" b="0"/>
            <wp:docPr id="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8"/>
                    <pic:cNvPicPr>
                      <a:picLocks noChangeAspect="1" noChangeArrowheads="1"/>
                    </pic:cNvPicPr>
                  </pic:nvPicPr>
                  <pic:blipFill>
                    <a:blip r:embed="rId8"/>
                    <a:srcRect l="-6" t="-10" r="-6" b="-10"/>
                    <a:stretch>
                      <a:fillRect/>
                    </a:stretch>
                  </pic:blipFill>
                  <pic:spPr bwMode="auto">
                    <a:xfrm>
                      <a:off x="0" y="0"/>
                      <a:ext cx="6019800" cy="3600450"/>
                    </a:xfrm>
                    <a:prstGeom prst="rect">
                      <a:avLst/>
                    </a:prstGeom>
                  </pic:spPr>
                </pic:pic>
              </a:graphicData>
            </a:graphic>
          </wp:inline>
        </w:drawing>
      </w:r>
    </w:p>
    <w:p w:rsidR="00227FEF" w:rsidRDefault="00494B9D">
      <w:pPr>
        <w:spacing w:line="360" w:lineRule="auto"/>
        <w:jc w:val="both"/>
        <w:rPr>
          <w:rFonts w:ascii="Times New Roman" w:hAnsi="Times New Roman"/>
          <w:sz w:val="28"/>
          <w:szCs w:val="28"/>
        </w:rPr>
      </w:pPr>
      <w:r>
        <w:rPr>
          <w:rFonts w:ascii="Times New Roman" w:hAnsi="Times New Roman"/>
          <w:b/>
          <w:sz w:val="28"/>
          <w:szCs w:val="28"/>
        </w:rPr>
        <w:t xml:space="preserve">Рисунок </w:t>
      </w:r>
      <w:r>
        <w:rPr>
          <w:rFonts w:ascii="Times New Roman" w:hAnsi="Times New Roman"/>
          <w:b/>
          <w:sz w:val="28"/>
          <w:szCs w:val="28"/>
          <w:lang w:val="uk-UA"/>
        </w:rPr>
        <w:t>2</w:t>
      </w:r>
      <w:r>
        <w:rPr>
          <w:rFonts w:ascii="Times New Roman" w:hAnsi="Times New Roman"/>
          <w:b/>
          <w:sz w:val="28"/>
          <w:szCs w:val="28"/>
        </w:rPr>
        <w:t xml:space="preserve">. Тур’є-Реметівська ТГ на Схемі планування території Закарпатської області </w:t>
      </w:r>
      <w:r>
        <w:rPr>
          <w:rFonts w:ascii="Times New Roman" w:hAnsi="Times New Roman"/>
          <w:b/>
          <w:sz w:val="28"/>
          <w:szCs w:val="28"/>
          <w:lang w:val="uk-UA"/>
        </w:rPr>
        <w:t>С</w:t>
      </w:r>
      <w:r>
        <w:rPr>
          <w:rFonts w:ascii="Times New Roman" w:hAnsi="Times New Roman"/>
          <w:b/>
          <w:sz w:val="28"/>
          <w:szCs w:val="28"/>
        </w:rPr>
        <w:t>хема енергетики.</w:t>
      </w:r>
    </w:p>
    <w:p w:rsidR="00227FEF" w:rsidRDefault="00494B9D">
      <w:pPr>
        <w:spacing w:line="360" w:lineRule="auto"/>
        <w:jc w:val="both"/>
        <w:rPr>
          <w:rFonts w:ascii="Times New Roman" w:hAnsi="Times New Roman"/>
          <w:sz w:val="28"/>
          <w:szCs w:val="28"/>
        </w:rPr>
      </w:pPr>
      <w:r>
        <w:rPr>
          <w:rFonts w:ascii="Times New Roman" w:hAnsi="Times New Roman"/>
          <w:sz w:val="28"/>
          <w:szCs w:val="28"/>
        </w:rPr>
        <w:tab/>
        <w:t>Більшість стратегічних та оперативних цілей Стратегії розвитку Закарпатської області до 2027 р. охоплює завдання, вирішення яких безпосередньо пов’язане з розв’язанням наявних проблем соціально-економічного розвитку Тур’є-</w:t>
      </w:r>
      <w:proofErr w:type="gramStart"/>
      <w:r>
        <w:rPr>
          <w:rFonts w:ascii="Times New Roman" w:hAnsi="Times New Roman"/>
          <w:sz w:val="28"/>
          <w:szCs w:val="28"/>
        </w:rPr>
        <w:t>Реметівської  територіальної</w:t>
      </w:r>
      <w:proofErr w:type="gramEnd"/>
      <w:r>
        <w:rPr>
          <w:rFonts w:ascii="Times New Roman" w:hAnsi="Times New Roman"/>
          <w:sz w:val="28"/>
          <w:szCs w:val="28"/>
        </w:rPr>
        <w:t xml:space="preserve"> громади.</w:t>
      </w:r>
    </w:p>
    <w:p w:rsidR="00227FEF" w:rsidRPr="00AC1C09" w:rsidRDefault="00494B9D">
      <w:pPr>
        <w:spacing w:line="360" w:lineRule="auto"/>
        <w:jc w:val="both"/>
        <w:rPr>
          <w:lang w:val="ru-RU"/>
        </w:rPr>
      </w:pPr>
      <w:r>
        <w:rPr>
          <w:rFonts w:ascii="Times New Roman" w:hAnsi="Times New Roman"/>
          <w:sz w:val="28"/>
          <w:szCs w:val="28"/>
        </w:rPr>
        <w:tab/>
      </w:r>
      <w:r>
        <w:rPr>
          <w:rFonts w:ascii="Times New Roman" w:hAnsi="Times New Roman"/>
          <w:sz w:val="28"/>
          <w:szCs w:val="28"/>
          <w:lang w:val="ru-RU"/>
        </w:rPr>
        <w:t>Зокрема, це стосується таких оперативних цілей, як: 1.1. Забезпечення рівного доступу та підвищення якості дошкільної, загальної середньої освіти та конкурентоспроможності професійно-технічної освіти; 1.2. Забезпечення культурно-</w:t>
      </w:r>
      <w:r>
        <w:rPr>
          <w:rFonts w:ascii="Times New Roman" w:hAnsi="Times New Roman"/>
          <w:sz w:val="28"/>
          <w:szCs w:val="28"/>
          <w:lang w:val="ru-RU"/>
        </w:rPr>
        <w:lastRenderedPageBreak/>
        <w:t>мистецького розвитку і збільшення доступу до послуг у сфері культури для мешканців сільських та гірських територій; 1.3. Збереження</w:t>
      </w:r>
      <w:r w:rsidR="001E58FC">
        <w:rPr>
          <w:lang w:val="uk-UA"/>
        </w:rPr>
        <w:t xml:space="preserve"> </w:t>
      </w:r>
      <w:r>
        <w:rPr>
          <w:rFonts w:ascii="Times New Roman" w:hAnsi="Times New Roman"/>
          <w:sz w:val="28"/>
          <w:szCs w:val="28"/>
          <w:lang w:val="ru-RU"/>
        </w:rPr>
        <w:t>регіональних об’єктів і територій історико-культурної спадщини; 1.5. Забезпечення рівного доступу та підвищення якості медичних послуг; 1.7. Зміцнення громадянського суспільства, соціальної сфери та соціальної включеності;  2.1. Розвиток малого і середнього підприємництва; 2.2. Розвиток туристичної та оздоровчої сфери; 2.3. Підвищення конкурентоспроможності ключових секторів регіональної економіки</w:t>
      </w:r>
      <w:r>
        <w:rPr>
          <w:rFonts w:ascii="Times New Roman" w:hAnsi="Times New Roman"/>
          <w:sz w:val="28"/>
          <w:szCs w:val="28"/>
          <w:lang w:val="uk-UA"/>
        </w:rPr>
        <w:t>;</w:t>
      </w:r>
      <w:r>
        <w:rPr>
          <w:rFonts w:ascii="Times New Roman" w:hAnsi="Times New Roman"/>
          <w:sz w:val="28"/>
          <w:szCs w:val="28"/>
          <w:lang w:val="ru-RU"/>
        </w:rPr>
        <w:t xml:space="preserve"> 2.4. Розвиток мереж транспортного сполучення та просторової інфраструктури; 3.3. Розвиток людських ресурсів у галузях смарт-спеціалізації регіону; 4.1. Збереження та відтворення біологічного і ландшафтного різноманіття, природних комплексів, водних, земельних та лісових ресурсів, розширення регіональної екологічної мережі; 4.2. Покращення якості навколишнього середовища на природних і урбанізованих територіях регіону</w:t>
      </w:r>
      <w:r>
        <w:rPr>
          <w:rFonts w:ascii="Times New Roman" w:hAnsi="Times New Roman"/>
          <w:sz w:val="28"/>
          <w:szCs w:val="28"/>
          <w:lang w:val="uk-UA"/>
        </w:rPr>
        <w:t>;</w:t>
      </w:r>
      <w:r>
        <w:rPr>
          <w:rFonts w:ascii="Times New Roman" w:hAnsi="Times New Roman"/>
          <w:sz w:val="28"/>
          <w:szCs w:val="28"/>
          <w:lang w:val="ru-RU"/>
        </w:rPr>
        <w:t xml:space="preserve"> 4.3. Розвиток і вдосконалення систем та засобів захисту територій від природних лих і техногенних катастроф та глобальних змін клімату; 4.4. Актуалізація, уточнення і впровадження чинної Стратегії поводження з відходами у Закарпатській області, розробленої і схваленої на 15-річний період; 4.5. Впровадження екологічної і природоохоронної складових в розробку і оновлення містобудівної документації; 5.1. Вирівнювання диспропорцій розвитку гірських, передгірних і низинних територій; 5.2. Підтримка економічної активності на сільських територіях; 5.3. Підтримка формування ефективного і спроможного місцевого самоврядування та органів державної влади на основі нового адміністративно-територіального устрою області; 5.4. Забезпечення пріоритетного публічного інвестування у розвиток територій і громад сільських та гірських районів на всіх рівнях врядування.</w:t>
      </w:r>
    </w:p>
    <w:p w:rsidR="00227FEF" w:rsidRPr="005E48D4" w:rsidRDefault="00494B9D">
      <w:pPr>
        <w:spacing w:line="360" w:lineRule="auto"/>
        <w:jc w:val="both"/>
        <w:rPr>
          <w:lang w:val="ru-RU"/>
        </w:rPr>
      </w:pPr>
      <w:r>
        <w:rPr>
          <w:rFonts w:ascii="Times New Roman" w:hAnsi="Times New Roman"/>
          <w:sz w:val="28"/>
          <w:szCs w:val="28"/>
          <w:lang w:val="ru-RU"/>
        </w:rPr>
        <w:tab/>
      </w:r>
      <w:r>
        <w:rPr>
          <w:lang w:val="ru-RU"/>
        </w:rPr>
        <w:t xml:space="preserve"> </w:t>
      </w:r>
      <w:r>
        <w:rPr>
          <w:rFonts w:ascii="Times New Roman" w:hAnsi="Times New Roman"/>
          <w:sz w:val="28"/>
          <w:szCs w:val="28"/>
          <w:lang w:val="ru-RU"/>
        </w:rPr>
        <w:t>У 2026 р. процес планування розвитку Тур’є-</w:t>
      </w:r>
      <w:proofErr w:type="gramStart"/>
      <w:r>
        <w:rPr>
          <w:rFonts w:ascii="Times New Roman" w:hAnsi="Times New Roman"/>
          <w:sz w:val="28"/>
          <w:szCs w:val="28"/>
          <w:lang w:val="ru-RU"/>
        </w:rPr>
        <w:t>Реметівської  громади</w:t>
      </w:r>
      <w:proofErr w:type="gramEnd"/>
      <w:r>
        <w:rPr>
          <w:rFonts w:ascii="Times New Roman" w:hAnsi="Times New Roman"/>
          <w:sz w:val="28"/>
          <w:szCs w:val="28"/>
          <w:lang w:val="ru-RU"/>
        </w:rPr>
        <w:t xml:space="preserve"> здійснюється через реалізацію місцевих цільових програм, спрямованих на вирішення її першочергових соціально-економічних проблем та Програми соціально-економічного розвитку  Тур’є-Реметівської сільської ради на 2026 рік. Більшість із них пов’язані з медичною та соціальною сферами, вирішенням </w:t>
      </w:r>
      <w:r>
        <w:rPr>
          <w:rFonts w:ascii="Times New Roman" w:hAnsi="Times New Roman"/>
          <w:sz w:val="28"/>
          <w:szCs w:val="28"/>
          <w:lang w:val="ru-RU"/>
        </w:rPr>
        <w:lastRenderedPageBreak/>
        <w:t>безпекових питань, покращенням благоустрою території громади та модернізацією наявної інфраструктури, покращення матеріально-технічного забезпечення військових частин та територіальної оборони та ін.</w:t>
      </w:r>
    </w:p>
    <w:p w:rsidR="00227FEF" w:rsidRDefault="00494B9D">
      <w:pPr>
        <w:spacing w:line="360" w:lineRule="auto"/>
        <w:jc w:val="both"/>
        <w:rPr>
          <w:rFonts w:ascii="Times New Roman" w:hAnsi="Times New Roman"/>
          <w:sz w:val="28"/>
          <w:szCs w:val="28"/>
          <w:lang w:val="ru-RU"/>
        </w:rPr>
      </w:pPr>
      <w:r>
        <w:rPr>
          <w:rFonts w:ascii="Times New Roman" w:hAnsi="Times New Roman"/>
          <w:sz w:val="28"/>
          <w:szCs w:val="28"/>
          <w:lang w:val="ru-RU"/>
        </w:rPr>
        <w:t xml:space="preserve">Висновки. </w:t>
      </w:r>
    </w:p>
    <w:p w:rsidR="00227FEF" w:rsidRPr="005E48D4" w:rsidRDefault="00494B9D">
      <w:pPr>
        <w:spacing w:line="360" w:lineRule="auto"/>
        <w:jc w:val="both"/>
        <w:rPr>
          <w:lang w:val="ru-RU"/>
        </w:rPr>
      </w:pPr>
      <w:r>
        <w:rPr>
          <w:rFonts w:ascii="Times New Roman" w:hAnsi="Times New Roman"/>
          <w:sz w:val="28"/>
          <w:szCs w:val="28"/>
          <w:lang w:val="ru-RU"/>
        </w:rPr>
        <w:tab/>
        <w:t xml:space="preserve">1. Відповідно до Схеми планування території Закарпатської області на території Тур’є-Реметівської ТГ передбачено розвиток таких функціональних зон </w:t>
      </w:r>
      <w:proofErr w:type="gramStart"/>
      <w:r>
        <w:rPr>
          <w:rFonts w:ascii="Times New Roman" w:hAnsi="Times New Roman"/>
          <w:sz w:val="28"/>
          <w:szCs w:val="28"/>
          <w:lang w:val="ru-RU"/>
        </w:rPr>
        <w:t>як:  території</w:t>
      </w:r>
      <w:proofErr w:type="gramEnd"/>
      <w:r>
        <w:rPr>
          <w:rFonts w:ascii="Times New Roman" w:hAnsi="Times New Roman"/>
          <w:sz w:val="28"/>
          <w:szCs w:val="28"/>
          <w:lang w:val="ru-RU"/>
        </w:rPr>
        <w:t xml:space="preserve"> рекреаційного-туристичного спрямування, території гірсько-рекреаційних комплексів, території переважно лісогосподарського використання, території вітрової енергетики.</w:t>
      </w:r>
    </w:p>
    <w:p w:rsidR="00227FEF" w:rsidRDefault="00494B9D">
      <w:pPr>
        <w:spacing w:line="360" w:lineRule="auto"/>
        <w:jc w:val="both"/>
        <w:rPr>
          <w:rFonts w:ascii="Times New Roman" w:hAnsi="Times New Roman"/>
          <w:sz w:val="28"/>
          <w:szCs w:val="28"/>
          <w:lang w:val="ru-RU"/>
        </w:rPr>
      </w:pPr>
      <w:r>
        <w:rPr>
          <w:rFonts w:ascii="Times New Roman" w:hAnsi="Times New Roman"/>
          <w:sz w:val="28"/>
          <w:szCs w:val="28"/>
          <w:lang w:val="ru-RU"/>
        </w:rPr>
        <w:tab/>
        <w:t xml:space="preserve">Це обумовлено природо-ресурсним потенціалом громади, економіко географічним розташуванням, екологічним станом громади тощо. Водночас це мусить бути враховано Тур’є-Реметівською сільською радою при прийнятті рішень, щодо використання земельного фонду громади, профілю залучення інвесторів, формування місцевих цільових програм економічного спрямування, а також при розробленні просторового плану Тур’є-Реметівської сільської територіальної громади. </w:t>
      </w:r>
    </w:p>
    <w:p w:rsidR="00227FEF" w:rsidRPr="005E48D4" w:rsidRDefault="00494B9D" w:rsidP="000235D3">
      <w:pPr>
        <w:spacing w:line="360" w:lineRule="auto"/>
        <w:ind w:firstLine="708"/>
        <w:jc w:val="both"/>
        <w:rPr>
          <w:lang w:val="ru-RU"/>
        </w:rPr>
      </w:pPr>
      <w:r>
        <w:rPr>
          <w:rFonts w:ascii="Times New Roman" w:hAnsi="Times New Roman"/>
          <w:sz w:val="28"/>
          <w:szCs w:val="28"/>
          <w:lang w:val="ru-RU"/>
        </w:rPr>
        <w:t xml:space="preserve">2. Процес планування розвитку Тур’є-Реметівської ТГ здійснюється через прийняття місцевих цільових програм. Стан використання коштів бюджету Тур’є-Реметівської громади на фінансування програм свідчить про переважання соціального скерування видатків (фінансування потреб ВПО, медичних послуг та спортивного розвитку), а також фінансування заходів першочергового характеру сфер ЖКГ, попередження надзвичайних ситуацій, забезпечення пожежної та техногенної безпеки та зміцнення безпеки, що особливо актуально в умовах воєнного стану. </w:t>
      </w:r>
    </w:p>
    <w:p w:rsidR="00227FEF" w:rsidRDefault="00494B9D" w:rsidP="000235D3">
      <w:pPr>
        <w:spacing w:line="360" w:lineRule="auto"/>
        <w:ind w:firstLine="708"/>
        <w:jc w:val="both"/>
        <w:rPr>
          <w:rFonts w:ascii="Times New Roman" w:hAnsi="Times New Roman"/>
          <w:sz w:val="28"/>
          <w:szCs w:val="28"/>
          <w:lang w:val="ru-RU"/>
        </w:rPr>
      </w:pPr>
      <w:r>
        <w:rPr>
          <w:rFonts w:ascii="Times New Roman" w:hAnsi="Times New Roman"/>
          <w:sz w:val="28"/>
          <w:szCs w:val="28"/>
          <w:lang w:val="ru-RU"/>
        </w:rPr>
        <w:t xml:space="preserve">3. Більшість стратегічних та оперативних цілей Стратегії розвитку Закарпатської області до 2027 р. охоплюють завдання, вирішення яких безпосередньо пов’язане з розв’язанням наявних проблем соціально-економічного розвитку Тур’є-Реметівської    територіальної громади. Громада має потребу у </w:t>
      </w:r>
      <w:r>
        <w:rPr>
          <w:rFonts w:ascii="Times New Roman" w:hAnsi="Times New Roman"/>
          <w:sz w:val="28"/>
          <w:szCs w:val="28"/>
          <w:lang w:val="ru-RU"/>
        </w:rPr>
        <w:lastRenderedPageBreak/>
        <w:t>розробці і реалізації місцевих програм, спрямованих на стимулювання місцевого економічного розвитку та підтримку підприємницьких ініціатив мешканцями.</w:t>
      </w:r>
    </w:p>
    <w:p w:rsidR="00227FEF" w:rsidRDefault="00227FEF">
      <w:pPr>
        <w:jc w:val="both"/>
        <w:rPr>
          <w:rFonts w:ascii="Times New Roman" w:hAnsi="Times New Roman"/>
          <w:b/>
          <w:sz w:val="28"/>
          <w:szCs w:val="28"/>
          <w:lang w:val="uk-UA"/>
        </w:rPr>
      </w:pPr>
    </w:p>
    <w:p w:rsidR="00227FEF" w:rsidRDefault="00494B9D">
      <w:pPr>
        <w:spacing w:after="160" w:line="360" w:lineRule="auto"/>
        <w:jc w:val="both"/>
        <w:rPr>
          <w:rFonts w:ascii="Times New Roman" w:eastAsia="Calibri" w:hAnsi="Times New Roman"/>
          <w:b/>
          <w:color w:val="FF0000"/>
          <w:sz w:val="28"/>
          <w:szCs w:val="28"/>
          <w:lang w:val="uk-UA" w:eastAsia="en-US"/>
        </w:rPr>
      </w:pPr>
      <w:r>
        <w:rPr>
          <w:rFonts w:ascii="Times New Roman" w:eastAsia="Calibri" w:hAnsi="Times New Roman"/>
          <w:b/>
          <w:sz w:val="28"/>
          <w:szCs w:val="28"/>
          <w:lang w:val="uk-UA" w:eastAsia="en-US"/>
        </w:rPr>
        <w:t>2.9</w:t>
      </w:r>
      <w:r w:rsidR="000235D3">
        <w:rPr>
          <w:rFonts w:ascii="Times New Roman" w:eastAsia="Calibri" w:hAnsi="Times New Roman"/>
          <w:b/>
          <w:sz w:val="28"/>
          <w:szCs w:val="28"/>
          <w:lang w:val="uk-UA" w:eastAsia="en-US"/>
        </w:rPr>
        <w:t>.</w:t>
      </w:r>
      <w:r>
        <w:rPr>
          <w:rFonts w:ascii="Times New Roman" w:eastAsia="Calibri" w:hAnsi="Times New Roman"/>
          <w:b/>
          <w:sz w:val="28"/>
          <w:szCs w:val="28"/>
          <w:lang w:val="uk-UA" w:eastAsia="en-US"/>
        </w:rPr>
        <w:t xml:space="preserve"> Результати опитування заінтересованих сторін</w:t>
      </w:r>
    </w:p>
    <w:p w:rsidR="00227FEF" w:rsidRDefault="00494B9D">
      <w:pPr>
        <w:spacing w:after="160" w:line="360" w:lineRule="auto"/>
        <w:jc w:val="both"/>
        <w:rPr>
          <w:rFonts w:ascii="Times New Roman" w:eastAsia="Calibri" w:hAnsi="Times New Roman"/>
          <w:b/>
          <w:sz w:val="28"/>
          <w:szCs w:val="28"/>
          <w:lang w:val="uk-UA" w:eastAsia="en-US"/>
        </w:rPr>
      </w:pPr>
      <w:r>
        <w:rPr>
          <w:rFonts w:ascii="Times New Roman" w:eastAsia="Calibri" w:hAnsi="Times New Roman"/>
          <w:b/>
          <w:sz w:val="28"/>
          <w:szCs w:val="28"/>
          <w:lang w:val="uk-UA" w:eastAsia="en-US"/>
        </w:rPr>
        <w:t>Опитування мешканців громади</w:t>
      </w:r>
    </w:p>
    <w:p w:rsidR="00227FEF" w:rsidRDefault="00494B9D">
      <w:pPr>
        <w:spacing w:line="360" w:lineRule="auto"/>
        <w:ind w:firstLine="851"/>
        <w:jc w:val="both"/>
        <w:rPr>
          <w:rFonts w:ascii="Times New Roman" w:hAnsi="Times New Roman"/>
          <w:sz w:val="28"/>
          <w:szCs w:val="28"/>
          <w:lang w:val="uk-UA" w:eastAsia="en-US"/>
        </w:rPr>
      </w:pPr>
      <w:r>
        <w:rPr>
          <w:rFonts w:ascii="Times New Roman" w:hAnsi="Times New Roman"/>
          <w:sz w:val="28"/>
          <w:szCs w:val="28"/>
          <w:lang w:val="ru-RU"/>
        </w:rPr>
        <w:t>Методом анкетування було анкетовано понад 70 респондентів. Опитування проводилось з лютого 2026 по травень включно 2026 року. При проведенні опитування було запропоновано питання, варіанти відповідей до питань, а також (за бажанням) додати власну відповідь на питання.</w:t>
      </w:r>
    </w:p>
    <w:p w:rsidR="00227FEF" w:rsidRDefault="00494B9D">
      <w:pPr>
        <w:spacing w:line="360" w:lineRule="auto"/>
        <w:ind w:firstLine="851"/>
        <w:jc w:val="both"/>
        <w:rPr>
          <w:rFonts w:ascii="Times New Roman" w:hAnsi="Times New Roman"/>
          <w:sz w:val="28"/>
          <w:szCs w:val="28"/>
          <w:lang w:val="ru-RU"/>
        </w:rPr>
      </w:pPr>
      <w:r>
        <w:rPr>
          <w:rFonts w:ascii="Times New Roman" w:hAnsi="Times New Roman"/>
          <w:sz w:val="28"/>
          <w:szCs w:val="28"/>
          <w:lang w:val="ru-RU"/>
        </w:rPr>
        <w:t>Загалом у проведеному дослідженні взяло участь 79 мешканців, з яких 76% жінки та 22% чоловіки. Більшість респондентів – люди працездатного віку (92,5 %). Майже кожний другий респондент – особа у віці 26-50 років. Серед опитуваних переважають наймані працівники, самозайняті особи, працівники правоохоронних органів, керівники підприємств, підприємці, посадові особи місцевого самоврядування, що загалом становить 92,3 %. Найбільший відсоток опитуваних є жителями с. Тур’ї Ремети (38,5%), с. Тур’</w:t>
      </w:r>
      <w:r w:rsidR="001B0CBC">
        <w:rPr>
          <w:rFonts w:ascii="Times New Roman" w:hAnsi="Times New Roman"/>
          <w:sz w:val="28"/>
          <w:szCs w:val="28"/>
          <w:lang w:val="ru-RU"/>
        </w:rPr>
        <w:t>я</w:t>
      </w:r>
      <w:r>
        <w:rPr>
          <w:rFonts w:ascii="Times New Roman" w:hAnsi="Times New Roman"/>
          <w:sz w:val="28"/>
          <w:szCs w:val="28"/>
          <w:lang w:val="ru-RU"/>
        </w:rPr>
        <w:t xml:space="preserve"> Пасіки (17,9%), с. Порошково (12,8%). Також в опитування взяли участь громадяни, які проживають за межами громади, але працюють (ведуть бізнес) на території громади (7,7%) та такі, що зараз тимчасово знаходяться за межами громади (6,4%), що свідчить про їх небайдужість та зацікавленість до перспектив розвитку територіальної громади.</w:t>
      </w:r>
    </w:p>
    <w:p w:rsidR="00227FEF" w:rsidRDefault="00494B9D">
      <w:pPr>
        <w:spacing w:line="360" w:lineRule="auto"/>
        <w:ind w:firstLine="851"/>
        <w:jc w:val="both"/>
        <w:rPr>
          <w:rFonts w:ascii="Times New Roman" w:hAnsi="Times New Roman"/>
          <w:sz w:val="28"/>
          <w:szCs w:val="28"/>
          <w:lang w:val="ru-RU"/>
        </w:rPr>
      </w:pPr>
      <w:r>
        <w:rPr>
          <w:rFonts w:ascii="Times New Roman" w:hAnsi="Times New Roman"/>
          <w:sz w:val="28"/>
          <w:szCs w:val="28"/>
          <w:lang w:val="ru-RU"/>
        </w:rPr>
        <w:t>Більшість мешканців, що взяли участь в опитуванні, позитивно характеризують свою громаду. Подобається жити в громаді 53,2% опитаним, не проти тут жити 16,5%, у захваті від своєї громади 10,1%, хочуть, щоб тут жили власні діти 5,1 % та готові запросити своїх знайомих після закінчення війни 1,3%. У той же час є серед опитаних ті, хто просто змушений тут жити та ті, хто виїдуть звідси при найменшій можливості (14%). З наведених цифр можна зробити висновок про високий рівень осідлості громади — 98,7% респондентів не є ВПО, а 46,2% володіють власною нерухомістю.</w:t>
      </w:r>
    </w:p>
    <w:p w:rsidR="00227FEF" w:rsidRDefault="00494B9D">
      <w:pPr>
        <w:spacing w:line="360" w:lineRule="auto"/>
        <w:ind w:firstLine="851"/>
        <w:jc w:val="both"/>
        <w:rPr>
          <w:rFonts w:ascii="Times New Roman" w:hAnsi="Times New Roman"/>
          <w:sz w:val="28"/>
          <w:szCs w:val="28"/>
          <w:lang w:val="ru-RU"/>
        </w:rPr>
      </w:pPr>
      <w:r>
        <w:rPr>
          <w:rFonts w:ascii="Times New Roman" w:hAnsi="Times New Roman"/>
          <w:sz w:val="28"/>
          <w:szCs w:val="28"/>
          <w:lang w:val="ru-RU"/>
        </w:rPr>
        <w:lastRenderedPageBreak/>
        <w:t>Бачення людей перспектив розвитку громади є досить різносторонніми 39,4% мешканців, що взяли участь в опитуванні, позитивно оцінюють перспективи громади – 31 особі комфортно жити в громаді, 17 – хотіли б, щоб тут жили їхні діти, 6 – тут є де і як себе реалізувати. Водночас більшість опитаних, 61 особа (44,5%), не бачить прогресу та перспектив розвитку громади та не може себе у ній реалізувати.</w:t>
      </w:r>
    </w:p>
    <w:p w:rsidR="00227FEF" w:rsidRPr="005E48D4" w:rsidRDefault="00494B9D">
      <w:pPr>
        <w:spacing w:line="360" w:lineRule="auto"/>
        <w:ind w:firstLine="851"/>
        <w:jc w:val="both"/>
        <w:rPr>
          <w:lang w:val="ru-RU"/>
        </w:rPr>
      </w:pPr>
      <w:r>
        <w:rPr>
          <w:rFonts w:ascii="Times New Roman" w:hAnsi="Times New Roman"/>
          <w:sz w:val="28"/>
          <w:szCs w:val="28"/>
          <w:lang w:val="ru-RU"/>
        </w:rPr>
        <w:t xml:space="preserve">Оцінюючи поточний стан окремих характеристик громади респонденти відмічають добру та відмінну якість надання медичних, адміністративних, освітніх, соціальних послуг та послуг у сфері культури. Задовільним вважають транспортне сполучення, </w:t>
      </w:r>
      <w:r w:rsidRPr="000235D3">
        <w:rPr>
          <w:rFonts w:ascii="Times New Roman" w:hAnsi="Times New Roman"/>
          <w:color w:val="000000" w:themeColor="text1"/>
          <w:sz w:val="28"/>
          <w:szCs w:val="28"/>
          <w:lang w:val="ru-RU"/>
        </w:rPr>
        <w:t xml:space="preserve">на межі із незадовільним станом бачать екологічне становище, </w:t>
      </w:r>
      <w:r>
        <w:rPr>
          <w:rFonts w:ascii="Times New Roman" w:hAnsi="Times New Roman"/>
          <w:sz w:val="28"/>
          <w:szCs w:val="28"/>
          <w:lang w:val="ru-RU"/>
        </w:rPr>
        <w:t>інфраструктуру відпочинку, рівень громадської активності жителів, умови для започаткування та ведення власного бізнесу. Не задовільним визнають стан дорожнього покриття, тротуарів, наявність укриттів та їх доступність, можливості для працевлаштування у громаді.</w:t>
      </w:r>
    </w:p>
    <w:p w:rsidR="00227FEF" w:rsidRDefault="00494B9D">
      <w:pPr>
        <w:spacing w:line="360" w:lineRule="auto"/>
        <w:ind w:firstLine="851"/>
        <w:jc w:val="both"/>
        <w:rPr>
          <w:rFonts w:ascii="Times New Roman" w:hAnsi="Times New Roman"/>
          <w:sz w:val="28"/>
          <w:szCs w:val="28"/>
          <w:lang w:val="ru-RU"/>
        </w:rPr>
      </w:pPr>
      <w:r>
        <w:rPr>
          <w:rFonts w:ascii="Times New Roman" w:hAnsi="Times New Roman"/>
          <w:sz w:val="28"/>
          <w:szCs w:val="28"/>
          <w:lang w:val="ru-RU"/>
        </w:rPr>
        <w:t>Серед найважливіших напрямків розвитку громади на найближчі шість років респонденти виділяють: створення робочих місць, це головний запит громади (62% голосів); 50,6% респондентів вважають залучення грантів та внутрішніх інвестицій найважливішим напрямком; благоустрій та інфраструктура, а саме ремонт доріг (62%) та благоустрій населених пунктів (55,7%) названі першочерговими завданнями на місцях; для 39,2% опитаних пріоритетом є прозорість місцевої влади.</w:t>
      </w:r>
    </w:p>
    <w:p w:rsidR="00227FEF" w:rsidRDefault="00494B9D">
      <w:pPr>
        <w:spacing w:line="360" w:lineRule="auto"/>
        <w:ind w:firstLine="851"/>
        <w:jc w:val="both"/>
        <w:rPr>
          <w:rFonts w:ascii="Times New Roman" w:hAnsi="Times New Roman"/>
          <w:sz w:val="28"/>
          <w:szCs w:val="28"/>
          <w:lang w:val="ru-RU"/>
        </w:rPr>
      </w:pPr>
      <w:r>
        <w:rPr>
          <w:rFonts w:ascii="Times New Roman" w:hAnsi="Times New Roman"/>
          <w:sz w:val="28"/>
          <w:szCs w:val="28"/>
          <w:lang w:val="ru-RU"/>
        </w:rPr>
        <w:t>Жителі виділили три основні чинники, що заважатимуть розвитку громади: демографічні втрати (57%) — виїзд населення є ключовим побоюванням; відсутність інвестицій (49,4%) та низька якість/відсутність доріг (49,4%); засміченість довкілля (38%) та безробіття (30,4%).</w:t>
      </w:r>
    </w:p>
    <w:p w:rsidR="00227FEF" w:rsidRPr="005E48D4" w:rsidRDefault="00494B9D">
      <w:pPr>
        <w:spacing w:line="360" w:lineRule="auto"/>
        <w:ind w:firstLine="851"/>
        <w:jc w:val="both"/>
        <w:rPr>
          <w:lang w:val="ru-RU"/>
        </w:rPr>
      </w:pPr>
      <w:r>
        <w:rPr>
          <w:rFonts w:ascii="Times New Roman" w:hAnsi="Times New Roman"/>
          <w:sz w:val="28"/>
          <w:szCs w:val="28"/>
          <w:lang w:val="ru-RU"/>
        </w:rPr>
        <w:t>Серед першочергових завдань для розвитку села (старостинського округу) в якому проживають опитані домінують наступні: благоустрій населених пунктів, ремонт дорожнього покриття між населеними пунктами та доріг та тротуарів у населених пунктах, розвиток підприємництва та створення нових робочих місць.</w:t>
      </w:r>
    </w:p>
    <w:p w:rsidR="00227FEF" w:rsidRDefault="00494B9D">
      <w:pPr>
        <w:spacing w:line="360" w:lineRule="auto"/>
        <w:ind w:firstLine="851"/>
        <w:jc w:val="both"/>
        <w:rPr>
          <w:rFonts w:ascii="Times New Roman" w:hAnsi="Times New Roman"/>
          <w:sz w:val="28"/>
          <w:szCs w:val="28"/>
          <w:lang w:val="ru-RU"/>
        </w:rPr>
      </w:pPr>
      <w:r>
        <w:rPr>
          <w:rFonts w:ascii="Times New Roman" w:hAnsi="Times New Roman"/>
          <w:sz w:val="28"/>
          <w:szCs w:val="28"/>
          <w:lang w:val="ru-RU"/>
        </w:rPr>
        <w:t xml:space="preserve">Щодо стратегічних галузей, то найперспективнішими мешканці вважають туризм та курортно-рекреаційну галузь (по 63,3%), а також альтернативну </w:t>
      </w:r>
      <w:r>
        <w:rPr>
          <w:rFonts w:ascii="Times New Roman" w:hAnsi="Times New Roman"/>
          <w:sz w:val="28"/>
          <w:szCs w:val="28"/>
          <w:lang w:val="ru-RU"/>
        </w:rPr>
        <w:lastRenderedPageBreak/>
        <w:t>енергетику (57%). Значна частка вірить у розвиток сільського господарства: тваринництва (43%) та ягідництва (26,6%).</w:t>
      </w:r>
    </w:p>
    <w:p w:rsidR="00227FEF" w:rsidRDefault="00494B9D">
      <w:pPr>
        <w:spacing w:line="360" w:lineRule="auto"/>
        <w:ind w:firstLine="851"/>
        <w:jc w:val="both"/>
        <w:rPr>
          <w:rFonts w:ascii="Times New Roman" w:hAnsi="Times New Roman"/>
          <w:sz w:val="28"/>
          <w:szCs w:val="28"/>
          <w:lang w:val="ru-RU"/>
        </w:rPr>
      </w:pPr>
      <w:r>
        <w:rPr>
          <w:rFonts w:ascii="Times New Roman" w:hAnsi="Times New Roman"/>
          <w:sz w:val="28"/>
          <w:szCs w:val="28"/>
          <w:lang w:val="ru-RU"/>
        </w:rPr>
        <w:t xml:space="preserve">Головними ресурсами громади для подальшого її розвитку жителі називають її туристичну привабливість (69,6%) та вигідне географічне положення (45,6%). </w:t>
      </w:r>
    </w:p>
    <w:p w:rsidR="00227FEF" w:rsidRPr="005E48D4" w:rsidRDefault="00494B9D">
      <w:pPr>
        <w:spacing w:line="360" w:lineRule="auto"/>
        <w:ind w:firstLine="851"/>
        <w:jc w:val="both"/>
        <w:rPr>
          <w:lang w:val="ru-RU"/>
        </w:rPr>
      </w:pPr>
      <w:r>
        <w:rPr>
          <w:rFonts w:ascii="Times New Roman" w:hAnsi="Times New Roman"/>
          <w:sz w:val="28"/>
          <w:szCs w:val="28"/>
          <w:lang w:val="ru-RU"/>
        </w:rPr>
        <w:t>Серед найбільш бажаних характеристик громади у 2030 році опитані мешканці зазначили наступні: громада із високооплачуваними робочими місцями (46,8%), чиста громада із дбайливими мешканцями 94,5%), громада комфортна для проживання (38%) та громада із прозорим, демократичним управлінням (31,6%).</w:t>
      </w:r>
    </w:p>
    <w:p w:rsidR="00227FEF" w:rsidRDefault="00494B9D">
      <w:pPr>
        <w:spacing w:after="160" w:line="360" w:lineRule="auto"/>
        <w:jc w:val="both"/>
        <w:rPr>
          <w:rFonts w:ascii="Times New Roman" w:eastAsia="Calibri" w:hAnsi="Times New Roman"/>
          <w:b/>
          <w:sz w:val="28"/>
          <w:szCs w:val="28"/>
          <w:lang w:val="uk-UA" w:eastAsia="en-US"/>
        </w:rPr>
      </w:pPr>
      <w:r>
        <w:rPr>
          <w:rFonts w:ascii="Times New Roman" w:eastAsia="Calibri" w:hAnsi="Times New Roman"/>
          <w:b/>
          <w:sz w:val="28"/>
          <w:szCs w:val="28"/>
          <w:lang w:val="uk-UA" w:eastAsia="en-US"/>
        </w:rPr>
        <w:t>Опитування представників бізнесу громади</w:t>
      </w:r>
    </w:p>
    <w:p w:rsidR="00227FEF" w:rsidRPr="005E48D4" w:rsidRDefault="00494B9D">
      <w:pPr>
        <w:spacing w:line="360" w:lineRule="auto"/>
        <w:ind w:firstLine="851"/>
        <w:jc w:val="both"/>
        <w:rPr>
          <w:lang w:val="ru-RU"/>
        </w:rPr>
      </w:pPr>
      <w:r>
        <w:rPr>
          <w:rFonts w:ascii="Times New Roman" w:eastAsia="Calibri" w:hAnsi="Times New Roman"/>
          <w:sz w:val="28"/>
          <w:szCs w:val="28"/>
          <w:lang w:val="uk-UA" w:eastAsia="en-US"/>
        </w:rPr>
        <w:tab/>
      </w:r>
      <w:r>
        <w:rPr>
          <w:rFonts w:ascii="Times New Roman" w:hAnsi="Times New Roman"/>
          <w:sz w:val="28"/>
          <w:szCs w:val="28"/>
          <w:lang w:val="ru-RU"/>
        </w:rPr>
        <w:t>Опитування проведено методом анкетування, у якому взяли участь 17 представників місцевого бізнесу. При проведенні опитування було запропоновано питання, варіанти відповідей до питань, а також (за бажанням) додати власну відповідь на питання.</w:t>
      </w:r>
    </w:p>
    <w:p w:rsidR="00227FEF" w:rsidRPr="005E48D4" w:rsidRDefault="00494B9D">
      <w:pPr>
        <w:spacing w:line="360" w:lineRule="auto"/>
        <w:ind w:firstLine="851"/>
        <w:jc w:val="both"/>
        <w:rPr>
          <w:lang w:val="ru-RU"/>
        </w:rPr>
      </w:pPr>
      <w:r>
        <w:rPr>
          <w:rFonts w:ascii="Times New Roman" w:hAnsi="Times New Roman"/>
          <w:sz w:val="28"/>
          <w:szCs w:val="28"/>
          <w:lang w:val="ru-RU"/>
        </w:rPr>
        <w:t xml:space="preserve">Більша частина підприємців, які взяли участь в опитуванні представляють підприємства/бізнес, які були створені після 2014 </w:t>
      </w:r>
      <w:proofErr w:type="gramStart"/>
      <w:r>
        <w:rPr>
          <w:rFonts w:ascii="Times New Roman" w:hAnsi="Times New Roman"/>
          <w:sz w:val="28"/>
          <w:szCs w:val="28"/>
          <w:lang w:val="ru-RU"/>
        </w:rPr>
        <w:t>року</w:t>
      </w:r>
      <w:proofErr w:type="gramEnd"/>
      <w:r>
        <w:rPr>
          <w:rFonts w:ascii="Times New Roman" w:hAnsi="Times New Roman"/>
          <w:sz w:val="28"/>
          <w:szCs w:val="28"/>
          <w:lang w:val="ru-RU"/>
        </w:rPr>
        <w:t xml:space="preserve"> а саме 41,2 %. Значна частина підприємств були створені у період з 2010 по 2014 роки (29,4%) та 2005-2010 роки (11,8%).  Підприємства, створені до 2005 року були представлені в опитуванні у кількості 17,6%.  Переважна більшість (76,5%) підприємств належить фізичним особам (у тому числі ФОП), а 17,6% — українським юридичним особам. </w:t>
      </w:r>
      <w:r w:rsidRPr="005E48D4">
        <w:rPr>
          <w:rFonts w:ascii="Times New Roman" w:hAnsi="Times New Roman"/>
          <w:sz w:val="28"/>
          <w:szCs w:val="28"/>
          <w:lang w:val="ru-RU"/>
        </w:rPr>
        <w:t>Більшість — це мікропідприємства, 47% опитаних мають від 1 до 3 працівників, хоча присутні й поодинокі великі роботодавці (наприклад, одне підприємство зі штатом у 300 осіб). Найбільшу частку підприємницької діяльності займають сфера послуг (</w:t>
      </w:r>
      <w:proofErr w:type="gramStart"/>
      <w:r w:rsidRPr="005E48D4">
        <w:rPr>
          <w:rFonts w:ascii="Times New Roman" w:hAnsi="Times New Roman"/>
          <w:sz w:val="28"/>
          <w:szCs w:val="28"/>
          <w:lang w:val="ru-RU"/>
        </w:rPr>
        <w:t>35,%)</w:t>
      </w:r>
      <w:proofErr w:type="gramEnd"/>
      <w:r w:rsidRPr="005E48D4">
        <w:rPr>
          <w:rFonts w:ascii="Times New Roman" w:hAnsi="Times New Roman"/>
          <w:sz w:val="28"/>
          <w:szCs w:val="28"/>
          <w:lang w:val="ru-RU"/>
        </w:rPr>
        <w:t xml:space="preserve">, роздрібна торгівля (29,4%) та громадське харчування (23,5%). </w:t>
      </w:r>
      <w:r>
        <w:rPr>
          <w:rFonts w:ascii="Times New Roman" w:hAnsi="Times New Roman"/>
          <w:sz w:val="28"/>
          <w:szCs w:val="28"/>
          <w:lang w:val="ru-RU"/>
        </w:rPr>
        <w:t>Також присутні харчова промисловість, переробка лісу та перевезення.</w:t>
      </w:r>
    </w:p>
    <w:p w:rsidR="00227FEF" w:rsidRDefault="00494B9D">
      <w:pPr>
        <w:spacing w:line="360" w:lineRule="auto"/>
        <w:ind w:firstLine="851"/>
        <w:jc w:val="both"/>
        <w:rPr>
          <w:rFonts w:ascii="Times New Roman" w:hAnsi="Times New Roman"/>
          <w:sz w:val="28"/>
          <w:szCs w:val="28"/>
          <w:lang w:val="ru-RU"/>
        </w:rPr>
      </w:pPr>
      <w:r>
        <w:rPr>
          <w:rFonts w:ascii="Times New Roman" w:hAnsi="Times New Roman"/>
          <w:sz w:val="28"/>
          <w:szCs w:val="28"/>
          <w:lang w:val="ru-RU"/>
        </w:rPr>
        <w:t>Більшість опитаних орієнтовані на місцевий ринок (</w:t>
      </w:r>
      <w:proofErr w:type="gramStart"/>
      <w:r>
        <w:rPr>
          <w:rFonts w:ascii="Times New Roman" w:hAnsi="Times New Roman"/>
          <w:sz w:val="28"/>
          <w:szCs w:val="28"/>
          <w:lang w:val="ru-RU"/>
        </w:rPr>
        <w:t>у межах</w:t>
      </w:r>
      <w:proofErr w:type="gramEnd"/>
      <w:r>
        <w:rPr>
          <w:rFonts w:ascii="Times New Roman" w:hAnsi="Times New Roman"/>
          <w:sz w:val="28"/>
          <w:szCs w:val="28"/>
          <w:lang w:val="ru-RU"/>
        </w:rPr>
        <w:t xml:space="preserve"> громади та району). Проте значна частина бізнесів взагалі не</w:t>
      </w:r>
      <w:r w:rsidR="000235D3">
        <w:rPr>
          <w:rFonts w:ascii="Times New Roman" w:hAnsi="Times New Roman"/>
          <w:sz w:val="28"/>
          <w:szCs w:val="28"/>
          <w:lang w:val="ru-RU"/>
        </w:rPr>
        <w:t xml:space="preserve"> здійснює збут за межі України.</w:t>
      </w:r>
    </w:p>
    <w:p w:rsidR="00227FEF" w:rsidRDefault="00494B9D">
      <w:pPr>
        <w:spacing w:line="360" w:lineRule="auto"/>
        <w:ind w:firstLine="851"/>
        <w:jc w:val="both"/>
        <w:rPr>
          <w:rFonts w:ascii="Times New Roman" w:hAnsi="Times New Roman"/>
          <w:sz w:val="28"/>
          <w:szCs w:val="28"/>
          <w:lang w:val="ru-RU"/>
        </w:rPr>
      </w:pPr>
      <w:r>
        <w:rPr>
          <w:rFonts w:ascii="Times New Roman" w:hAnsi="Times New Roman"/>
          <w:sz w:val="28"/>
          <w:szCs w:val="28"/>
          <w:lang w:val="ru-RU"/>
        </w:rPr>
        <w:t>Підприємці налаштовані дуже оптимістично - 88,2% прогнозують зростання обсягів збуту протягом 2026–2028 років.</w:t>
      </w:r>
    </w:p>
    <w:p w:rsidR="00227FEF" w:rsidRDefault="00494B9D">
      <w:pPr>
        <w:pStyle w:val="ad"/>
        <w:spacing w:before="0" w:after="0" w:line="360" w:lineRule="auto"/>
        <w:jc w:val="both"/>
      </w:pPr>
      <w:r>
        <w:rPr>
          <w:sz w:val="28"/>
          <w:szCs w:val="28"/>
        </w:rPr>
        <w:lastRenderedPageBreak/>
        <w:tab/>
        <w:t xml:space="preserve">Серед факторів, які утримують підприємців у громаді або роблять її привабливою для діяльності </w:t>
      </w:r>
      <w:proofErr w:type="gramStart"/>
      <w:r>
        <w:rPr>
          <w:sz w:val="28"/>
          <w:szCs w:val="28"/>
        </w:rPr>
        <w:t>переважають  наявність</w:t>
      </w:r>
      <w:proofErr w:type="gramEnd"/>
      <w:r>
        <w:rPr>
          <w:sz w:val="28"/>
          <w:szCs w:val="28"/>
        </w:rPr>
        <w:t xml:space="preserve"> </w:t>
      </w:r>
      <w:r>
        <w:rPr>
          <w:bCs/>
          <w:sz w:val="28"/>
          <w:szCs w:val="28"/>
        </w:rPr>
        <w:t>робочої сили</w:t>
      </w:r>
      <w:r>
        <w:rPr>
          <w:sz w:val="28"/>
          <w:szCs w:val="28"/>
        </w:rPr>
        <w:t xml:space="preserve"> (29,4% відповідей) та </w:t>
      </w:r>
      <w:r>
        <w:rPr>
          <w:bCs/>
          <w:sz w:val="28"/>
          <w:szCs w:val="28"/>
        </w:rPr>
        <w:t>основного ринку збуту</w:t>
      </w:r>
      <w:r>
        <w:rPr>
          <w:sz w:val="28"/>
          <w:szCs w:val="28"/>
        </w:rPr>
        <w:t xml:space="preserve"> -  безпосередніх покупців продукції чи послуг (також 29,4%). Для 17,6% опитаних важливою є близькість до інших підприємств чи груп, що споріднені за профілем виробництва.  Меншу роль відіграють фактори наявності основних інвесторів (11,8%) та постачальників сировини чи комплектуючих (11,8%) саме всередині громади.</w:t>
      </w:r>
    </w:p>
    <w:p w:rsidR="00227FEF" w:rsidRDefault="00494B9D">
      <w:pPr>
        <w:spacing w:line="360" w:lineRule="auto"/>
        <w:ind w:firstLine="851"/>
        <w:jc w:val="both"/>
        <w:rPr>
          <w:rFonts w:ascii="Times New Roman" w:hAnsi="Times New Roman"/>
          <w:sz w:val="28"/>
          <w:szCs w:val="28"/>
          <w:lang w:val="ru-RU"/>
        </w:rPr>
      </w:pPr>
      <w:r>
        <w:rPr>
          <w:rFonts w:ascii="Times New Roman" w:hAnsi="Times New Roman"/>
          <w:sz w:val="28"/>
          <w:szCs w:val="28"/>
          <w:lang w:val="ru-RU"/>
        </w:rPr>
        <w:t>Переважна більшість підприємців (64,7</w:t>
      </w:r>
      <w:proofErr w:type="gramStart"/>
      <w:r>
        <w:rPr>
          <w:rFonts w:ascii="Times New Roman" w:hAnsi="Times New Roman"/>
          <w:sz w:val="28"/>
          <w:szCs w:val="28"/>
          <w:lang w:val="ru-RU"/>
        </w:rPr>
        <w:t>% )</w:t>
      </w:r>
      <w:proofErr w:type="gramEnd"/>
      <w:r>
        <w:rPr>
          <w:rFonts w:ascii="Times New Roman" w:hAnsi="Times New Roman"/>
          <w:sz w:val="28"/>
          <w:szCs w:val="28"/>
          <w:lang w:val="ru-RU"/>
        </w:rPr>
        <w:t xml:space="preserve">  офіційно підтверджують, що відчувають нестачу спеціалістів, важливих для розвитку їхньої справи. Ще 17,6% респондентів наразі не відчувають гострої проблеми, але очікують на її появу в найближчому майбутньому. Лише для 17,6% бізнесів це питання наразі не є актуальним. Найбільший запит на водіїв (35,3% опитаних), кухарів, кондитери та офіціанти (29,4%), продавці та працівники робітничих спеціальностей (по 23,5%), також відчутна потреба в трактористах та логістах (по 17,6%).</w:t>
      </w:r>
    </w:p>
    <w:p w:rsidR="00227FEF" w:rsidRDefault="00494B9D">
      <w:pPr>
        <w:spacing w:line="360" w:lineRule="auto"/>
        <w:ind w:firstLine="851"/>
        <w:jc w:val="both"/>
        <w:rPr>
          <w:rFonts w:ascii="Times New Roman" w:hAnsi="Times New Roman"/>
          <w:sz w:val="28"/>
          <w:szCs w:val="28"/>
          <w:lang w:val="ru-RU"/>
        </w:rPr>
      </w:pPr>
      <w:r>
        <w:rPr>
          <w:rFonts w:ascii="Times New Roman" w:hAnsi="Times New Roman"/>
          <w:sz w:val="28"/>
          <w:szCs w:val="28"/>
          <w:lang w:val="ru-RU"/>
        </w:rPr>
        <w:t xml:space="preserve">Значна частина респондентів планує розвиватися, а </w:t>
      </w:r>
      <w:proofErr w:type="gramStart"/>
      <w:r>
        <w:rPr>
          <w:rFonts w:ascii="Times New Roman" w:hAnsi="Times New Roman"/>
          <w:sz w:val="28"/>
          <w:szCs w:val="28"/>
          <w:lang w:val="ru-RU"/>
        </w:rPr>
        <w:t>саме,  29</w:t>
      </w:r>
      <w:proofErr w:type="gramEnd"/>
      <w:r>
        <w:rPr>
          <w:rFonts w:ascii="Times New Roman" w:hAnsi="Times New Roman"/>
          <w:sz w:val="28"/>
          <w:szCs w:val="28"/>
          <w:lang w:val="ru-RU"/>
        </w:rPr>
        <w:t xml:space="preserve">,4% планують інвестиції у 2026 році, 17,6% - у 2027 році а 47,1% розглядають таку можливість у майбутньому.  35,3% серед опитаних розглядають Ужгородський район як, майданчик для нових потужностей, 17,6% планують розширятися </w:t>
      </w:r>
      <w:proofErr w:type="gramStart"/>
      <w:r>
        <w:rPr>
          <w:rFonts w:ascii="Times New Roman" w:hAnsi="Times New Roman"/>
          <w:sz w:val="28"/>
          <w:szCs w:val="28"/>
          <w:lang w:val="ru-RU"/>
        </w:rPr>
        <w:t>у межах</w:t>
      </w:r>
      <w:proofErr w:type="gramEnd"/>
      <w:r>
        <w:rPr>
          <w:rFonts w:ascii="Times New Roman" w:hAnsi="Times New Roman"/>
          <w:sz w:val="28"/>
          <w:szCs w:val="28"/>
          <w:lang w:val="ru-RU"/>
        </w:rPr>
        <w:t xml:space="preserve"> Закарпатської області. При цьому 88,2% не планують повністю переносити бізнес в іншу </w:t>
      </w:r>
      <w:proofErr w:type="gramStart"/>
      <w:r>
        <w:rPr>
          <w:rFonts w:ascii="Times New Roman" w:hAnsi="Times New Roman"/>
          <w:sz w:val="28"/>
          <w:szCs w:val="28"/>
          <w:lang w:val="ru-RU"/>
        </w:rPr>
        <w:t>громаду</w:t>
      </w:r>
      <w:proofErr w:type="gramEnd"/>
      <w:r>
        <w:rPr>
          <w:rFonts w:ascii="Times New Roman" w:hAnsi="Times New Roman"/>
          <w:sz w:val="28"/>
          <w:szCs w:val="28"/>
          <w:lang w:val="ru-RU"/>
        </w:rPr>
        <w:t xml:space="preserve"> а 11,8% планують перенести бізнес до іншої громади. Серед названих причин перенесення бізнесу домінують; зміна ринкової кон’юктури, відсутність необхідної кількості кваліфікованих працівників, надмірний тиск на підприємство з боку контролюючих органів.</w:t>
      </w:r>
    </w:p>
    <w:p w:rsidR="00227FEF" w:rsidRPr="005E48D4" w:rsidRDefault="00494B9D">
      <w:pPr>
        <w:spacing w:line="360" w:lineRule="auto"/>
        <w:ind w:firstLine="851"/>
        <w:jc w:val="both"/>
        <w:rPr>
          <w:lang w:val="ru-RU"/>
        </w:rPr>
      </w:pPr>
      <w:r>
        <w:rPr>
          <w:rFonts w:ascii="Times New Roman" w:hAnsi="Times New Roman"/>
          <w:sz w:val="28"/>
          <w:szCs w:val="28"/>
          <w:lang w:val="ru-RU"/>
        </w:rPr>
        <w:t>Підприємці виділили кілька ключових бар'єрів, які стримують прогрес території: безробіття, як найбільш критичний фактор, відзначили 23,5% опитаних; по 17,6% голосів отримали такі пункти, як «засміченість довкілля» та «недостатня громадська ініціативність»; по 11,8% респондентів вказали на «несприятливі умови для розвитку підприємництва» та «відсутність можливості для самореалізації».</w:t>
      </w:r>
    </w:p>
    <w:p w:rsidR="00227FEF" w:rsidRPr="005E48D4" w:rsidRDefault="00494B9D">
      <w:pPr>
        <w:spacing w:line="360" w:lineRule="auto"/>
        <w:ind w:firstLine="851"/>
        <w:jc w:val="both"/>
        <w:rPr>
          <w:lang w:val="ru-RU"/>
        </w:rPr>
      </w:pPr>
      <w:r>
        <w:rPr>
          <w:rFonts w:ascii="Times New Roman" w:eastAsia="Times New Roman" w:hAnsi="Times New Roman"/>
          <w:bCs/>
          <w:sz w:val="28"/>
          <w:szCs w:val="28"/>
          <w:lang w:val="ru-RU" w:eastAsia="uk-UA"/>
        </w:rPr>
        <w:lastRenderedPageBreak/>
        <w:t xml:space="preserve">Серед завдань, необхідні для розвитку громади </w:t>
      </w:r>
      <w:r>
        <w:rPr>
          <w:rFonts w:ascii="Times New Roman" w:eastAsia="Times New Roman" w:hAnsi="Times New Roman"/>
          <w:sz w:val="28"/>
          <w:szCs w:val="28"/>
          <w:lang w:val="ru-RU" w:eastAsia="uk-UA"/>
        </w:rPr>
        <w:t>бізнес пропонує зосередитися на таких напрямках: пріоритетом №1 є «розвиток малого і середнього бізнесу» (</w:t>
      </w:r>
      <w:r>
        <w:rPr>
          <w:rFonts w:ascii="Times New Roman" w:eastAsia="Times New Roman" w:hAnsi="Times New Roman"/>
          <w:bCs/>
          <w:sz w:val="28"/>
          <w:szCs w:val="28"/>
          <w:lang w:val="ru-RU" w:eastAsia="uk-UA"/>
        </w:rPr>
        <w:t>29,4</w:t>
      </w:r>
      <w:proofErr w:type="gramStart"/>
      <w:r>
        <w:rPr>
          <w:rFonts w:ascii="Times New Roman" w:eastAsia="Times New Roman" w:hAnsi="Times New Roman"/>
          <w:bCs/>
          <w:sz w:val="28"/>
          <w:szCs w:val="28"/>
          <w:lang w:val="ru-RU" w:eastAsia="uk-UA"/>
        </w:rPr>
        <w:t>%</w:t>
      </w:r>
      <w:r>
        <w:rPr>
          <w:rFonts w:ascii="Times New Roman" w:eastAsia="Times New Roman" w:hAnsi="Times New Roman"/>
          <w:sz w:val="28"/>
          <w:szCs w:val="28"/>
          <w:lang w:val="ru-RU" w:eastAsia="uk-UA"/>
        </w:rPr>
        <w:t>);  збільшення</w:t>
      </w:r>
      <w:proofErr w:type="gramEnd"/>
      <w:r>
        <w:rPr>
          <w:rFonts w:ascii="Times New Roman" w:eastAsia="Times New Roman" w:hAnsi="Times New Roman"/>
          <w:sz w:val="28"/>
          <w:szCs w:val="28"/>
          <w:lang w:val="ru-RU" w:eastAsia="uk-UA"/>
        </w:rPr>
        <w:t xml:space="preserve"> кількості робочих місць та покращення умов праці вважають за необхідне </w:t>
      </w:r>
      <w:r>
        <w:rPr>
          <w:rFonts w:ascii="Times New Roman" w:eastAsia="Times New Roman" w:hAnsi="Times New Roman"/>
          <w:bCs/>
          <w:sz w:val="28"/>
          <w:szCs w:val="28"/>
          <w:lang w:val="ru-RU" w:eastAsia="uk-UA"/>
        </w:rPr>
        <w:t>23,5%</w:t>
      </w:r>
      <w:r>
        <w:rPr>
          <w:rFonts w:ascii="Times New Roman" w:eastAsia="Times New Roman" w:hAnsi="Times New Roman"/>
          <w:sz w:val="28"/>
          <w:szCs w:val="28"/>
          <w:lang w:val="ru-RU" w:eastAsia="uk-UA"/>
        </w:rPr>
        <w:t>; наголошують на важливості ремонту доріг, вулиць та транспортної мережі</w:t>
      </w:r>
      <w:r>
        <w:rPr>
          <w:rFonts w:ascii="Times New Roman" w:eastAsia="Times New Roman" w:hAnsi="Times New Roman"/>
          <w:bCs/>
          <w:sz w:val="28"/>
          <w:szCs w:val="28"/>
          <w:lang w:val="ru-RU" w:eastAsia="uk-UA"/>
        </w:rPr>
        <w:t>17,6%</w:t>
      </w:r>
      <w:r>
        <w:rPr>
          <w:rFonts w:ascii="Times New Roman" w:eastAsia="Times New Roman" w:hAnsi="Times New Roman"/>
          <w:sz w:val="28"/>
          <w:szCs w:val="28"/>
          <w:lang w:val="ru-RU" w:eastAsia="uk-UA"/>
        </w:rPr>
        <w:t xml:space="preserve">; розвиток туристичної галузі та сфери дозвілля (відпочинок, спорт, культура) отримали по </w:t>
      </w:r>
      <w:r>
        <w:rPr>
          <w:rFonts w:ascii="Times New Roman" w:eastAsia="Times New Roman" w:hAnsi="Times New Roman"/>
          <w:bCs/>
          <w:sz w:val="28"/>
          <w:szCs w:val="28"/>
          <w:lang w:val="ru-RU" w:eastAsia="uk-UA"/>
        </w:rPr>
        <w:t>11,8%</w:t>
      </w:r>
      <w:r>
        <w:rPr>
          <w:rFonts w:ascii="Times New Roman" w:eastAsia="Times New Roman" w:hAnsi="Times New Roman"/>
          <w:sz w:val="28"/>
          <w:szCs w:val="28"/>
          <w:lang w:val="ru-RU" w:eastAsia="uk-UA"/>
        </w:rPr>
        <w:t xml:space="preserve"> голосів .</w:t>
      </w:r>
    </w:p>
    <w:p w:rsidR="00227FEF" w:rsidRPr="005E48D4" w:rsidRDefault="00494B9D">
      <w:pPr>
        <w:spacing w:line="360" w:lineRule="auto"/>
        <w:jc w:val="both"/>
        <w:rPr>
          <w:lang w:val="ru-RU"/>
        </w:rPr>
      </w:pPr>
      <w:r>
        <w:rPr>
          <w:rFonts w:ascii="Times New Roman" w:eastAsia="Times New Roman" w:hAnsi="Times New Roman"/>
          <w:sz w:val="28"/>
          <w:szCs w:val="28"/>
          <w:lang w:val="ru-RU" w:eastAsia="uk-UA"/>
        </w:rPr>
        <w:t>Підприємці бачать майбутнє громади у таких секторах: т</w:t>
      </w:r>
      <w:r>
        <w:rPr>
          <w:rFonts w:ascii="Times New Roman" w:eastAsia="Times New Roman" w:hAnsi="Times New Roman"/>
          <w:bCs/>
          <w:sz w:val="28"/>
          <w:szCs w:val="28"/>
          <w:lang w:val="ru-RU" w:eastAsia="uk-UA"/>
        </w:rPr>
        <w:t>уристичні послуги</w:t>
      </w:r>
      <w:r>
        <w:rPr>
          <w:rFonts w:ascii="Times New Roman" w:eastAsia="Times New Roman" w:hAnsi="Times New Roman"/>
          <w:sz w:val="28"/>
          <w:szCs w:val="28"/>
          <w:lang w:val="ru-RU" w:eastAsia="uk-UA"/>
        </w:rPr>
        <w:t xml:space="preserve"> підтримали </w:t>
      </w:r>
      <w:r>
        <w:rPr>
          <w:rFonts w:ascii="Times New Roman" w:eastAsia="Times New Roman" w:hAnsi="Times New Roman"/>
          <w:bCs/>
          <w:sz w:val="28"/>
          <w:szCs w:val="28"/>
          <w:lang w:val="ru-RU" w:eastAsia="uk-UA"/>
        </w:rPr>
        <w:t>82,4%</w:t>
      </w:r>
      <w:r>
        <w:rPr>
          <w:rFonts w:ascii="Times New Roman" w:eastAsia="Times New Roman" w:hAnsi="Times New Roman"/>
          <w:sz w:val="28"/>
          <w:szCs w:val="28"/>
          <w:lang w:val="ru-RU" w:eastAsia="uk-UA"/>
        </w:rPr>
        <w:t xml:space="preserve"> респондентів, г</w:t>
      </w:r>
      <w:r>
        <w:rPr>
          <w:rFonts w:ascii="Times New Roman" w:eastAsia="Times New Roman" w:hAnsi="Times New Roman"/>
          <w:bCs/>
          <w:sz w:val="28"/>
          <w:szCs w:val="28"/>
          <w:lang w:val="ru-RU" w:eastAsia="uk-UA"/>
        </w:rPr>
        <w:t>отельно-ресторанний бізнес</w:t>
      </w:r>
      <w:r>
        <w:rPr>
          <w:rFonts w:ascii="Times New Roman" w:eastAsia="Times New Roman" w:hAnsi="Times New Roman"/>
          <w:sz w:val="28"/>
          <w:szCs w:val="28"/>
          <w:lang w:val="ru-RU" w:eastAsia="uk-UA"/>
        </w:rPr>
        <w:t xml:space="preserve"> </w:t>
      </w:r>
      <w:proofErr w:type="gramStart"/>
      <w:r>
        <w:rPr>
          <w:rFonts w:ascii="Times New Roman" w:eastAsia="Times New Roman" w:hAnsi="Times New Roman"/>
          <w:sz w:val="28"/>
          <w:szCs w:val="28"/>
          <w:lang w:val="ru-RU" w:eastAsia="uk-UA"/>
        </w:rPr>
        <w:t xml:space="preserve">засвідчили  </w:t>
      </w:r>
      <w:r>
        <w:rPr>
          <w:rFonts w:ascii="Times New Roman" w:eastAsia="Times New Roman" w:hAnsi="Times New Roman"/>
          <w:bCs/>
          <w:sz w:val="28"/>
          <w:szCs w:val="28"/>
          <w:lang w:val="ru-RU" w:eastAsia="uk-UA"/>
        </w:rPr>
        <w:t>52</w:t>
      </w:r>
      <w:proofErr w:type="gramEnd"/>
      <w:r>
        <w:rPr>
          <w:rFonts w:ascii="Times New Roman" w:eastAsia="Times New Roman" w:hAnsi="Times New Roman"/>
          <w:bCs/>
          <w:sz w:val="28"/>
          <w:szCs w:val="28"/>
          <w:lang w:val="ru-RU" w:eastAsia="uk-UA"/>
        </w:rPr>
        <w:t>,9%</w:t>
      </w:r>
      <w:r>
        <w:rPr>
          <w:rFonts w:ascii="Times New Roman" w:eastAsia="Times New Roman" w:hAnsi="Times New Roman"/>
          <w:sz w:val="28"/>
          <w:szCs w:val="28"/>
          <w:lang w:val="ru-RU" w:eastAsia="uk-UA"/>
        </w:rPr>
        <w:t xml:space="preserve"> опитаних,   т</w:t>
      </w:r>
      <w:r>
        <w:rPr>
          <w:rFonts w:ascii="Times New Roman" w:eastAsia="Times New Roman" w:hAnsi="Times New Roman"/>
          <w:bCs/>
          <w:sz w:val="28"/>
          <w:szCs w:val="28"/>
          <w:lang w:val="ru-RU" w:eastAsia="uk-UA"/>
        </w:rPr>
        <w:t>оргівля п</w:t>
      </w:r>
      <w:r>
        <w:rPr>
          <w:rFonts w:ascii="Times New Roman" w:eastAsia="Times New Roman" w:hAnsi="Times New Roman"/>
          <w:sz w:val="28"/>
          <w:szCs w:val="28"/>
          <w:lang w:val="ru-RU" w:eastAsia="uk-UA"/>
        </w:rPr>
        <w:t xml:space="preserve">ріоритетна для </w:t>
      </w:r>
      <w:r>
        <w:rPr>
          <w:rFonts w:ascii="Times New Roman" w:eastAsia="Times New Roman" w:hAnsi="Times New Roman"/>
          <w:bCs/>
          <w:sz w:val="28"/>
          <w:szCs w:val="28"/>
          <w:lang w:val="ru-RU" w:eastAsia="uk-UA"/>
        </w:rPr>
        <w:t>41,2%</w:t>
      </w:r>
      <w:r>
        <w:rPr>
          <w:rFonts w:ascii="Times New Roman" w:eastAsia="Times New Roman" w:hAnsi="Times New Roman"/>
          <w:sz w:val="28"/>
          <w:szCs w:val="28"/>
          <w:lang w:val="ru-RU" w:eastAsia="uk-UA"/>
        </w:rPr>
        <w:t xml:space="preserve"> бізнесів, в</w:t>
      </w:r>
      <w:r>
        <w:rPr>
          <w:rFonts w:ascii="Times New Roman" w:eastAsia="Times New Roman" w:hAnsi="Times New Roman"/>
          <w:bCs/>
          <w:sz w:val="28"/>
          <w:szCs w:val="28"/>
          <w:lang w:val="ru-RU" w:eastAsia="uk-UA"/>
        </w:rPr>
        <w:t>иробництво та переробка</w:t>
      </w:r>
      <w:r>
        <w:rPr>
          <w:rFonts w:ascii="Times New Roman" w:eastAsia="Times New Roman" w:hAnsi="Times New Roman"/>
          <w:sz w:val="28"/>
          <w:szCs w:val="28"/>
          <w:lang w:val="ru-RU" w:eastAsia="uk-UA"/>
        </w:rPr>
        <w:t>а саме харчова промисловість (</w:t>
      </w:r>
      <w:r>
        <w:rPr>
          <w:rFonts w:ascii="Times New Roman" w:eastAsia="Times New Roman" w:hAnsi="Times New Roman"/>
          <w:bCs/>
          <w:sz w:val="28"/>
          <w:szCs w:val="28"/>
          <w:lang w:val="ru-RU" w:eastAsia="uk-UA"/>
        </w:rPr>
        <w:t>35,3%</w:t>
      </w:r>
      <w:r>
        <w:rPr>
          <w:rFonts w:ascii="Times New Roman" w:eastAsia="Times New Roman" w:hAnsi="Times New Roman"/>
          <w:sz w:val="28"/>
          <w:szCs w:val="28"/>
          <w:lang w:val="ru-RU" w:eastAsia="uk-UA"/>
        </w:rPr>
        <w:t>), переробка с/г продукції (</w:t>
      </w:r>
      <w:r>
        <w:rPr>
          <w:rFonts w:ascii="Times New Roman" w:eastAsia="Times New Roman" w:hAnsi="Times New Roman"/>
          <w:bCs/>
          <w:sz w:val="28"/>
          <w:szCs w:val="28"/>
          <w:lang w:val="ru-RU" w:eastAsia="uk-UA"/>
        </w:rPr>
        <w:t>29,4%</w:t>
      </w:r>
      <w:r>
        <w:rPr>
          <w:rFonts w:ascii="Times New Roman" w:eastAsia="Times New Roman" w:hAnsi="Times New Roman"/>
          <w:sz w:val="28"/>
          <w:szCs w:val="28"/>
          <w:lang w:val="ru-RU" w:eastAsia="uk-UA"/>
        </w:rPr>
        <w:t>) та лісопереробка (</w:t>
      </w:r>
      <w:r>
        <w:rPr>
          <w:rFonts w:ascii="Times New Roman" w:eastAsia="Times New Roman" w:hAnsi="Times New Roman"/>
          <w:bCs/>
          <w:sz w:val="28"/>
          <w:szCs w:val="28"/>
          <w:lang w:val="ru-RU" w:eastAsia="uk-UA"/>
        </w:rPr>
        <w:t>23,5%</w:t>
      </w:r>
      <w:r>
        <w:rPr>
          <w:rFonts w:ascii="Times New Roman" w:eastAsia="Times New Roman" w:hAnsi="Times New Roman"/>
          <w:sz w:val="28"/>
          <w:szCs w:val="28"/>
          <w:lang w:val="ru-RU" w:eastAsia="uk-UA"/>
        </w:rPr>
        <w:t xml:space="preserve">) також вважаються перспективними. </w:t>
      </w:r>
    </w:p>
    <w:p w:rsidR="00227FEF" w:rsidRDefault="00494B9D">
      <w:pPr>
        <w:pStyle w:val="ad"/>
        <w:spacing w:before="0" w:after="0" w:line="360" w:lineRule="auto"/>
        <w:jc w:val="both"/>
      </w:pPr>
      <w:r>
        <w:rPr>
          <w:sz w:val="28"/>
          <w:szCs w:val="28"/>
        </w:rPr>
        <w:tab/>
        <w:t xml:space="preserve">Погляди підприємців на рівень тінізації економіки в громаді дуже розходяться, що свідчить про відсутність єдиної думки або складність оцінки. Близько </w:t>
      </w:r>
      <w:r>
        <w:rPr>
          <w:bCs/>
          <w:sz w:val="28"/>
          <w:szCs w:val="28"/>
        </w:rPr>
        <w:t>11,8%</w:t>
      </w:r>
      <w:r>
        <w:rPr>
          <w:sz w:val="28"/>
          <w:szCs w:val="28"/>
        </w:rPr>
        <w:t xml:space="preserve"> вважають, що тіньовий бізнес відсутній (0%), і стільки ж (</w:t>
      </w:r>
      <w:r>
        <w:rPr>
          <w:bCs/>
          <w:sz w:val="28"/>
          <w:szCs w:val="28"/>
        </w:rPr>
        <w:t>11,8%</w:t>
      </w:r>
      <w:r>
        <w:rPr>
          <w:sz w:val="28"/>
          <w:szCs w:val="28"/>
        </w:rPr>
        <w:t xml:space="preserve">) оцінюють його у 10%. Частина респондентів вказує на рівень у 25% або 44%.  А </w:t>
      </w:r>
      <w:r>
        <w:rPr>
          <w:bCs/>
          <w:sz w:val="28"/>
          <w:szCs w:val="28"/>
        </w:rPr>
        <w:t>11,8%</w:t>
      </w:r>
      <w:r>
        <w:rPr>
          <w:sz w:val="28"/>
          <w:szCs w:val="28"/>
        </w:rPr>
        <w:t xml:space="preserve"> опитаних вважають, що в тіні перебуває аж </w:t>
      </w:r>
      <w:r>
        <w:rPr>
          <w:bCs/>
          <w:sz w:val="28"/>
          <w:szCs w:val="28"/>
        </w:rPr>
        <w:t>75%</w:t>
      </w:r>
      <w:r>
        <w:rPr>
          <w:sz w:val="28"/>
          <w:szCs w:val="28"/>
        </w:rPr>
        <w:t xml:space="preserve"> бізнесу громади.</w:t>
      </w:r>
    </w:p>
    <w:p w:rsidR="00227FEF" w:rsidRDefault="00494B9D">
      <w:pPr>
        <w:spacing w:line="360" w:lineRule="auto"/>
        <w:jc w:val="both"/>
        <w:rPr>
          <w:rFonts w:ascii="Times New Roman" w:eastAsia="Times New Roman" w:hAnsi="Times New Roman"/>
          <w:sz w:val="28"/>
          <w:szCs w:val="28"/>
          <w:lang w:val="ru-RU" w:eastAsia="uk-UA"/>
        </w:rPr>
      </w:pPr>
      <w:r>
        <w:rPr>
          <w:rFonts w:ascii="Times New Roman" w:eastAsia="Times New Roman" w:hAnsi="Times New Roman"/>
          <w:sz w:val="28"/>
          <w:szCs w:val="28"/>
          <w:lang w:val="ru-RU" w:eastAsia="uk-UA"/>
        </w:rPr>
        <w:tab/>
        <w:t>Громада, як місце для бізнесу, оцінюється переважно позитивно: 35,3% поставили найвищий бал «5», а 23,5% - «4». Більша частина респондентів налаштована позитивно, щодо можливості реалізації Стратегії розвитку громади (58,8%) та сумнівається 41,2% опитаних.</w:t>
      </w:r>
    </w:p>
    <w:p w:rsidR="00227FEF" w:rsidRDefault="00227FEF">
      <w:pPr>
        <w:spacing w:line="360" w:lineRule="auto"/>
        <w:jc w:val="both"/>
        <w:rPr>
          <w:rFonts w:ascii="Times New Roman" w:eastAsia="Calibri" w:hAnsi="Times New Roman"/>
          <w:sz w:val="28"/>
          <w:szCs w:val="28"/>
          <w:lang w:val="uk-UA" w:eastAsia="en-US"/>
        </w:rPr>
      </w:pPr>
    </w:p>
    <w:p w:rsidR="00227FEF" w:rsidRDefault="00494B9D">
      <w:pPr>
        <w:spacing w:line="276" w:lineRule="auto"/>
        <w:jc w:val="center"/>
        <w:rPr>
          <w:rFonts w:ascii="Times New Roman" w:eastAsia="Arial" w:hAnsi="Times New Roman"/>
          <w:b/>
          <w:bCs/>
          <w:sz w:val="28"/>
          <w:szCs w:val="28"/>
          <w:lang w:val="uk-UA" w:eastAsia="ru-RU"/>
        </w:rPr>
      </w:pPr>
      <w:r>
        <w:rPr>
          <w:rFonts w:ascii="Times New Roman" w:eastAsia="Arial" w:hAnsi="Times New Roman"/>
          <w:b/>
          <w:bCs/>
          <w:sz w:val="28"/>
          <w:szCs w:val="28"/>
          <w:lang w:val="uk-UA" w:eastAsia="ru-RU"/>
        </w:rPr>
        <w:t>IX. ФІНАНСОВИЙ СТАН ТА БЮДЖЕТ ТЕРИТОРІАЛЬНОЇ ГРОМАДИ</w:t>
      </w:r>
    </w:p>
    <w:p w:rsidR="00227FEF" w:rsidRDefault="00227FEF">
      <w:pPr>
        <w:spacing w:line="276" w:lineRule="auto"/>
        <w:jc w:val="center"/>
        <w:rPr>
          <w:rFonts w:ascii="Times New Roman" w:eastAsia="Arial" w:hAnsi="Times New Roman"/>
          <w:b/>
          <w:bCs/>
          <w:sz w:val="28"/>
          <w:szCs w:val="28"/>
          <w:lang w:val="uk-UA" w:eastAsia="ru-RU"/>
        </w:rPr>
      </w:pPr>
    </w:p>
    <w:p w:rsidR="00227FEF" w:rsidRDefault="00494B9D">
      <w:pPr>
        <w:spacing w:line="276" w:lineRule="auto"/>
        <w:jc w:val="center"/>
        <w:rPr>
          <w:rFonts w:ascii="Times New Roman" w:eastAsia="Arial" w:hAnsi="Times New Roman"/>
          <w:b/>
          <w:bCs/>
          <w:sz w:val="28"/>
          <w:szCs w:val="28"/>
          <w:lang w:val="uk-UA" w:eastAsia="ru-RU"/>
        </w:rPr>
      </w:pPr>
      <w:r>
        <w:rPr>
          <w:rFonts w:ascii="Times New Roman" w:eastAsia="Arial" w:hAnsi="Times New Roman"/>
          <w:b/>
          <w:bCs/>
          <w:sz w:val="28"/>
          <w:szCs w:val="28"/>
          <w:lang w:val="uk-UA" w:eastAsia="ru-RU"/>
        </w:rPr>
        <w:t>9.1. Доходи</w:t>
      </w:r>
    </w:p>
    <w:p w:rsidR="00227FEF" w:rsidRDefault="00494B9D">
      <w:pPr>
        <w:spacing w:line="276" w:lineRule="auto"/>
        <w:ind w:firstLine="708"/>
        <w:jc w:val="both"/>
        <w:rPr>
          <w:rFonts w:ascii="Times New Roman" w:eastAsia="Arial" w:hAnsi="Times New Roman"/>
          <w:sz w:val="28"/>
          <w:szCs w:val="28"/>
          <w:lang w:val="uk-UA" w:eastAsia="ru-RU"/>
        </w:rPr>
      </w:pPr>
      <w:r>
        <w:rPr>
          <w:rFonts w:ascii="Times New Roman" w:eastAsia="Arial" w:hAnsi="Times New Roman"/>
          <w:sz w:val="28"/>
          <w:szCs w:val="28"/>
          <w:lang w:val="uk-UA" w:eastAsia="ru-RU"/>
        </w:rPr>
        <w:t>Бюджет Тур’є-Реметівської СТГ формується відповідно до Бюджетного та Податкового кодексів України. У 2025 р. доходи бюджету Тур’є-Реметівської громади становили 217,378 млн грн (на 23% більше, ніж у 2024 році), видатки – 212,288 млн грн (на 22% більше, ніж у попередньому році). У 2024-2025 рр. бюджет Тур’є-Реметівської сільської територіальної громади був профіцитний на 2,68 млн грн та 5,069 млн грн відповідно.</w:t>
      </w:r>
    </w:p>
    <w:p w:rsidR="00227FEF" w:rsidRDefault="00494B9D">
      <w:pPr>
        <w:spacing w:line="276" w:lineRule="auto"/>
        <w:ind w:firstLine="708"/>
        <w:jc w:val="both"/>
        <w:rPr>
          <w:rFonts w:ascii="Times New Roman" w:eastAsia="Arial" w:hAnsi="Times New Roman"/>
          <w:sz w:val="28"/>
          <w:szCs w:val="28"/>
          <w:lang w:val="uk-UA" w:eastAsia="ru-RU"/>
        </w:rPr>
      </w:pPr>
      <w:r>
        <w:rPr>
          <w:rFonts w:ascii="Times New Roman" w:eastAsia="Arial" w:hAnsi="Times New Roman"/>
          <w:sz w:val="28"/>
          <w:szCs w:val="28"/>
          <w:lang w:val="uk-UA" w:eastAsia="ru-RU"/>
        </w:rPr>
        <w:lastRenderedPageBreak/>
        <w:t>За інформацією Державного веб-порталу бюджету для громадян у 2025 р. податкові надходження склали 32,33% усіх доходів бюджету Тур’є-Реметівської громади (рис. 1.9.1). Питома вага офіційних трансфертів у 2025 році склала 59,91% усіх доходів бюджету громади. У 2024 році вона становила 68,09% усіх доходів бюджету громади. Така зміна структури доходів бюджету громади була зумовлена значним збільшенням податкових надходжень за аналізований період – на 54,56%. Доходи від операцій з капіталом  також значно зросли – з 0,06 млн грн у 2024 році до 12,99 млн грн у 2025 році. Натомість неподаткові надходження зменшились на 64,25%.</w:t>
      </w:r>
    </w:p>
    <w:p w:rsidR="00227FEF" w:rsidRDefault="00494B9D">
      <w:pPr>
        <w:spacing w:line="276" w:lineRule="auto"/>
        <w:jc w:val="center"/>
        <w:rPr>
          <w:rFonts w:ascii="Times New Roman" w:eastAsia="Arial" w:hAnsi="Times New Roman"/>
          <w:sz w:val="28"/>
          <w:szCs w:val="28"/>
          <w:lang w:val="uk-UA" w:eastAsia="ru-RU"/>
        </w:rPr>
      </w:pPr>
      <w:r>
        <w:rPr>
          <w:rFonts w:ascii="Times New Roman" w:eastAsia="Arial" w:hAnsi="Times New Roman"/>
          <w:noProof/>
          <w:sz w:val="28"/>
          <w:szCs w:val="28"/>
          <w:lang w:val="uk-UA" w:eastAsia="uk-UA"/>
        </w:rPr>
        <w:drawing>
          <wp:inline distT="0" distB="0" distL="0" distR="0">
            <wp:extent cx="5793105" cy="3414395"/>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noChangeArrowheads="1"/>
                    </pic:cNvPicPr>
                  </pic:nvPicPr>
                  <pic:blipFill>
                    <a:blip r:embed="rId9"/>
                    <a:srcRect l="-7" t="-11" r="-7" b="-11"/>
                    <a:stretch>
                      <a:fillRect/>
                    </a:stretch>
                  </pic:blipFill>
                  <pic:spPr bwMode="auto">
                    <a:xfrm>
                      <a:off x="0" y="0"/>
                      <a:ext cx="5793105" cy="3414395"/>
                    </a:xfrm>
                    <a:prstGeom prst="rect">
                      <a:avLst/>
                    </a:prstGeom>
                  </pic:spPr>
                </pic:pic>
              </a:graphicData>
            </a:graphic>
          </wp:inline>
        </w:drawing>
      </w:r>
    </w:p>
    <w:p w:rsidR="00227FEF" w:rsidRDefault="00494B9D">
      <w:pPr>
        <w:spacing w:line="276" w:lineRule="auto"/>
        <w:jc w:val="center"/>
        <w:rPr>
          <w:rFonts w:ascii="Times New Roman" w:eastAsia="Arial" w:hAnsi="Times New Roman"/>
          <w:b/>
          <w:sz w:val="28"/>
          <w:szCs w:val="28"/>
          <w:lang w:val="uk-UA" w:eastAsia="ru-RU"/>
        </w:rPr>
      </w:pPr>
      <w:r>
        <w:rPr>
          <w:rFonts w:ascii="Times New Roman" w:eastAsia="Arial" w:hAnsi="Times New Roman"/>
          <w:b/>
          <w:sz w:val="28"/>
          <w:szCs w:val="28"/>
          <w:lang w:val="uk-UA" w:eastAsia="ru-RU"/>
        </w:rPr>
        <w:t>Риc. 1.9.1. Динаміка доходів бюджету Тур’є-Реметівської територіальної громади за 2024–2025 рр, млн грн</w:t>
      </w:r>
      <w:r>
        <w:rPr>
          <w:rStyle w:val="a6"/>
          <w:rFonts w:ascii="Times New Roman" w:eastAsia="Arial" w:hAnsi="Times New Roman"/>
          <w:b/>
          <w:sz w:val="28"/>
          <w:szCs w:val="28"/>
          <w:lang w:val="uk-UA" w:eastAsia="ru-RU"/>
        </w:rPr>
        <w:footnoteReference w:id="2"/>
      </w:r>
    </w:p>
    <w:p w:rsidR="00227FEF" w:rsidRDefault="00227FEF">
      <w:pPr>
        <w:spacing w:line="276" w:lineRule="auto"/>
        <w:ind w:firstLine="708"/>
        <w:jc w:val="both"/>
        <w:rPr>
          <w:rFonts w:ascii="Times New Roman" w:eastAsia="Arial" w:hAnsi="Times New Roman"/>
          <w:b/>
          <w:sz w:val="28"/>
          <w:szCs w:val="28"/>
          <w:shd w:val="clear" w:color="auto" w:fill="F4CCCC"/>
          <w:lang w:val="uk-UA" w:eastAsia="ru-RU"/>
        </w:rPr>
      </w:pPr>
    </w:p>
    <w:p w:rsidR="00227FEF" w:rsidRPr="005E48D4" w:rsidRDefault="00494B9D">
      <w:pPr>
        <w:shd w:val="clear" w:color="auto" w:fill="FFFFFF"/>
        <w:spacing w:line="276" w:lineRule="auto"/>
        <w:ind w:firstLine="708"/>
        <w:jc w:val="both"/>
        <w:rPr>
          <w:lang w:val="ru-RU"/>
        </w:rPr>
      </w:pPr>
      <w:r>
        <w:rPr>
          <w:rFonts w:ascii="Times New Roman" w:eastAsia="Arial" w:hAnsi="Times New Roman"/>
          <w:b/>
          <w:bCs/>
          <w:sz w:val="28"/>
          <w:szCs w:val="28"/>
          <w:shd w:val="clear" w:color="auto" w:fill="FFFFFF"/>
          <w:lang w:val="uk-UA" w:eastAsia="ru-RU"/>
        </w:rPr>
        <w:t>Податкові надходження.</w:t>
      </w:r>
      <w:r>
        <w:rPr>
          <w:rFonts w:ascii="Times New Roman" w:eastAsia="Arial" w:hAnsi="Times New Roman"/>
          <w:sz w:val="28"/>
          <w:szCs w:val="28"/>
          <w:shd w:val="clear" w:color="auto" w:fill="FFFFFF"/>
          <w:lang w:val="uk-UA" w:eastAsia="ru-RU"/>
        </w:rPr>
        <w:t xml:space="preserve"> Дві третіх (66,9%) усіх податкових надходжень бюджету Тур’є-Реметівської ТГ у 2025 році забезпечив податок з доходів фізичних осіб (в частині, яка скеровується до місцевого бюджету відповідно до Бюджетного кодексу України). Для бюджету Тур’є-Реметівської СТГ вагоме значення мають доходи від місцевих податків і зборів. У Тур’є-Реметівської громаді справляють наступні місцеві податки: податок на нерухоме майно, відмінне від земельної ділянки; земельний податок; туристичний збір; єдиний податок. ОМС у межах своєї компетенції встановили ставки та пільги щодо сплати місцевих податків.</w:t>
      </w:r>
    </w:p>
    <w:p w:rsidR="00227FEF" w:rsidRPr="005E48D4" w:rsidRDefault="00494B9D">
      <w:pPr>
        <w:spacing w:line="276" w:lineRule="auto"/>
        <w:ind w:firstLine="708"/>
        <w:jc w:val="both"/>
        <w:rPr>
          <w:lang w:val="ru-RU"/>
        </w:rPr>
      </w:pPr>
      <w:r>
        <w:rPr>
          <w:rFonts w:ascii="Times New Roman" w:eastAsia="Arial" w:hAnsi="Times New Roman"/>
          <w:sz w:val="28"/>
          <w:szCs w:val="28"/>
          <w:shd w:val="clear" w:color="auto" w:fill="FFFFFF"/>
          <w:lang w:val="uk-UA" w:eastAsia="ru-RU"/>
        </w:rPr>
        <w:lastRenderedPageBreak/>
        <w:t>Оподаткування місцевими податками у Тур’є-Реметівській громаді можна вважати задовільним для ведення бізнесу та адекватним для місцевих жителів, з огляду на величину ставок місцевих податків. Як і більшість громад Тур’є-Реметівська СТГ встановила максимальні ставки єдиного податку. Ставки податку на нерухоме майно, відмінне від земельної ділянки, знаходяться на низькому рівні законодавчо встановленого діапазону для юридичних осіб та фізичних осіб. Водночас у громаді встановлено максимальний рівень ставок земельного податку. Ставки туристичного збору у Тур’є-Реметівській громаді для внутрішнього туризму встановлені на верхній межі 0,5% від розміру мінімальної заробітної плати, а для в‘їзного туризму ставка становить 2% (при граничній межі 5%).</w:t>
      </w:r>
      <w:r>
        <w:rPr>
          <w:rFonts w:ascii="Times New Roman" w:eastAsia="Arial" w:hAnsi="Times New Roman"/>
          <w:sz w:val="28"/>
          <w:szCs w:val="28"/>
          <w:shd w:val="clear" w:color="auto" w:fill="F4CCCC"/>
          <w:lang w:val="uk-UA" w:eastAsia="ru-RU"/>
        </w:rPr>
        <w:t xml:space="preserve"> </w:t>
      </w:r>
    </w:p>
    <w:p w:rsidR="00227FEF" w:rsidRDefault="00494B9D">
      <w:pPr>
        <w:spacing w:line="276" w:lineRule="auto"/>
        <w:jc w:val="center"/>
        <w:rPr>
          <w:rFonts w:ascii="Times New Roman" w:eastAsia="Arial" w:hAnsi="Times New Roman"/>
          <w:sz w:val="28"/>
          <w:szCs w:val="28"/>
          <w:shd w:val="clear" w:color="auto" w:fill="FFFFFF"/>
          <w:lang w:val="uk-UA" w:eastAsia="en-US"/>
        </w:rPr>
      </w:pPr>
      <w:r>
        <w:rPr>
          <w:rFonts w:ascii="Times New Roman" w:eastAsia="Arial" w:hAnsi="Times New Roman"/>
          <w:noProof/>
          <w:sz w:val="28"/>
          <w:szCs w:val="28"/>
          <w:shd w:val="clear" w:color="auto" w:fill="FFFFFF"/>
          <w:lang w:val="uk-UA" w:eastAsia="uk-UA"/>
        </w:rPr>
        <w:drawing>
          <wp:inline distT="0" distB="0" distL="0" distR="0">
            <wp:extent cx="5534660" cy="3496945"/>
            <wp:effectExtent l="0" t="0" r="0" b="0"/>
            <wp:docPr id="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0"/>
                    <pic:cNvPicPr>
                      <a:picLocks noChangeAspect="1" noChangeArrowheads="1"/>
                    </pic:cNvPicPr>
                  </pic:nvPicPr>
                  <pic:blipFill>
                    <a:blip r:embed="rId10"/>
                    <a:srcRect l="-7" t="-12" r="-7" b="-12"/>
                    <a:stretch>
                      <a:fillRect/>
                    </a:stretch>
                  </pic:blipFill>
                  <pic:spPr bwMode="auto">
                    <a:xfrm>
                      <a:off x="0" y="0"/>
                      <a:ext cx="5534660" cy="3496945"/>
                    </a:xfrm>
                    <a:prstGeom prst="rect">
                      <a:avLst/>
                    </a:prstGeom>
                  </pic:spPr>
                </pic:pic>
              </a:graphicData>
            </a:graphic>
          </wp:inline>
        </w:drawing>
      </w:r>
    </w:p>
    <w:p w:rsidR="00227FEF" w:rsidRDefault="00227FEF">
      <w:pPr>
        <w:spacing w:line="276" w:lineRule="auto"/>
        <w:jc w:val="center"/>
        <w:rPr>
          <w:rFonts w:ascii="Times New Roman" w:eastAsia="Arial" w:hAnsi="Times New Roman"/>
          <w:sz w:val="28"/>
          <w:szCs w:val="28"/>
          <w:shd w:val="clear" w:color="auto" w:fill="FFFFFF"/>
          <w:lang w:val="uk-UA" w:eastAsia="ru-RU"/>
        </w:rPr>
      </w:pPr>
    </w:p>
    <w:p w:rsidR="00227FEF" w:rsidRDefault="00494B9D">
      <w:pPr>
        <w:spacing w:line="276" w:lineRule="auto"/>
        <w:jc w:val="center"/>
        <w:rPr>
          <w:rFonts w:ascii="Times New Roman" w:eastAsia="Arial" w:hAnsi="Times New Roman"/>
          <w:b/>
          <w:sz w:val="28"/>
          <w:szCs w:val="28"/>
          <w:shd w:val="clear" w:color="auto" w:fill="FFFFFF"/>
          <w:lang w:val="uk-UA" w:eastAsia="ru-RU"/>
        </w:rPr>
      </w:pPr>
      <w:r>
        <w:rPr>
          <w:rFonts w:ascii="Times New Roman" w:eastAsia="Arial" w:hAnsi="Times New Roman"/>
          <w:b/>
          <w:sz w:val="28"/>
          <w:szCs w:val="28"/>
          <w:shd w:val="clear" w:color="auto" w:fill="FFFFFF"/>
          <w:lang w:val="uk-UA" w:eastAsia="ru-RU"/>
        </w:rPr>
        <w:t>Рис. 1.9.2 Структура податкових надходжень бюджету Тур’є-Реметівської територіальної громади, 2024 р., млн грн</w:t>
      </w:r>
      <w:r>
        <w:rPr>
          <w:rStyle w:val="a6"/>
          <w:rFonts w:ascii="Times New Roman" w:eastAsia="Arial" w:hAnsi="Times New Roman"/>
          <w:b/>
          <w:sz w:val="28"/>
          <w:szCs w:val="28"/>
          <w:lang w:val="uk-UA" w:eastAsia="ru-RU"/>
        </w:rPr>
        <w:footnoteReference w:id="3"/>
      </w:r>
    </w:p>
    <w:p w:rsidR="00227FEF" w:rsidRDefault="00227FEF">
      <w:pPr>
        <w:spacing w:line="276" w:lineRule="auto"/>
        <w:ind w:firstLine="708"/>
        <w:jc w:val="both"/>
        <w:rPr>
          <w:rFonts w:ascii="Times New Roman" w:eastAsia="Arial" w:hAnsi="Times New Roman"/>
          <w:b/>
          <w:sz w:val="28"/>
          <w:szCs w:val="28"/>
          <w:shd w:val="clear" w:color="auto" w:fill="FFFFFF"/>
          <w:lang w:val="uk-UA" w:eastAsia="ru-RU"/>
        </w:rPr>
      </w:pPr>
    </w:p>
    <w:p w:rsidR="00227FEF" w:rsidRDefault="00494B9D">
      <w:pPr>
        <w:spacing w:line="276" w:lineRule="auto"/>
        <w:jc w:val="center"/>
        <w:rPr>
          <w:rFonts w:ascii="Times New Roman" w:eastAsia="Arial" w:hAnsi="Times New Roman"/>
          <w:sz w:val="28"/>
          <w:szCs w:val="28"/>
          <w:shd w:val="clear" w:color="auto" w:fill="FFFFFF"/>
          <w:lang w:val="uk-UA" w:eastAsia="ru-RU"/>
        </w:rPr>
      </w:pPr>
      <w:r>
        <w:rPr>
          <w:rFonts w:ascii="Times New Roman" w:eastAsia="Arial" w:hAnsi="Times New Roman"/>
          <w:noProof/>
          <w:sz w:val="28"/>
          <w:szCs w:val="28"/>
          <w:shd w:val="clear" w:color="auto" w:fill="FFFFFF"/>
          <w:lang w:val="uk-UA" w:eastAsia="uk-UA"/>
        </w:rPr>
        <w:lastRenderedPageBreak/>
        <w:drawing>
          <wp:inline distT="0" distB="0" distL="0" distR="0">
            <wp:extent cx="5798820" cy="3474720"/>
            <wp:effectExtent l="0" t="0" r="0" b="0"/>
            <wp:docPr id="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6"/>
                    <pic:cNvPicPr>
                      <a:picLocks noChangeAspect="1" noChangeArrowheads="1"/>
                    </pic:cNvPicPr>
                  </pic:nvPicPr>
                  <pic:blipFill>
                    <a:blip r:embed="rId11"/>
                    <a:srcRect l="-8" t="-13" r="-8" b="-13"/>
                    <a:stretch>
                      <a:fillRect/>
                    </a:stretch>
                  </pic:blipFill>
                  <pic:spPr bwMode="auto">
                    <a:xfrm>
                      <a:off x="0" y="0"/>
                      <a:ext cx="5798820" cy="3474720"/>
                    </a:xfrm>
                    <a:prstGeom prst="rect">
                      <a:avLst/>
                    </a:prstGeom>
                  </pic:spPr>
                </pic:pic>
              </a:graphicData>
            </a:graphic>
          </wp:inline>
        </w:drawing>
      </w:r>
    </w:p>
    <w:p w:rsidR="00227FEF" w:rsidRDefault="00494B9D">
      <w:pPr>
        <w:spacing w:line="276" w:lineRule="auto"/>
        <w:jc w:val="center"/>
        <w:rPr>
          <w:rFonts w:ascii="Times New Roman" w:eastAsia="Arial" w:hAnsi="Times New Roman"/>
          <w:b/>
          <w:sz w:val="28"/>
          <w:szCs w:val="28"/>
          <w:shd w:val="clear" w:color="auto" w:fill="FFFFFF"/>
          <w:lang w:val="uk-UA" w:eastAsia="ru-RU"/>
        </w:rPr>
      </w:pPr>
      <w:r>
        <w:rPr>
          <w:rFonts w:ascii="Times New Roman" w:eastAsia="Arial" w:hAnsi="Times New Roman"/>
          <w:b/>
          <w:sz w:val="28"/>
          <w:szCs w:val="28"/>
          <w:shd w:val="clear" w:color="auto" w:fill="FFFFFF"/>
          <w:lang w:val="uk-UA" w:eastAsia="ru-RU"/>
        </w:rPr>
        <w:t>Рис. 1.9.3 Структура податкових надходжень бюджету Тур’є-Реметівської територіальної громади, 2025 р., млн грн</w:t>
      </w:r>
      <w:r>
        <w:rPr>
          <w:rStyle w:val="a6"/>
          <w:rFonts w:ascii="Times New Roman" w:eastAsia="Arial" w:hAnsi="Times New Roman"/>
          <w:b/>
          <w:sz w:val="28"/>
          <w:szCs w:val="28"/>
          <w:lang w:val="uk-UA" w:eastAsia="ru-RU"/>
        </w:rPr>
        <w:footnoteReference w:id="4"/>
      </w:r>
    </w:p>
    <w:p w:rsidR="00227FEF" w:rsidRDefault="00227FEF">
      <w:pPr>
        <w:spacing w:line="276" w:lineRule="auto"/>
        <w:jc w:val="center"/>
        <w:rPr>
          <w:rFonts w:ascii="Times New Roman" w:eastAsia="Arial" w:hAnsi="Times New Roman"/>
          <w:b/>
          <w:sz w:val="28"/>
          <w:szCs w:val="28"/>
          <w:shd w:val="clear" w:color="auto" w:fill="FFFFFF"/>
          <w:lang w:val="uk-UA" w:eastAsia="ru-RU"/>
        </w:rPr>
      </w:pPr>
    </w:p>
    <w:p w:rsidR="00227FEF" w:rsidRDefault="00494B9D">
      <w:pPr>
        <w:spacing w:line="276" w:lineRule="auto"/>
        <w:ind w:firstLine="708"/>
        <w:jc w:val="both"/>
        <w:rPr>
          <w:rFonts w:ascii="Times New Roman" w:eastAsia="Arial" w:hAnsi="Times New Roman"/>
          <w:sz w:val="28"/>
          <w:szCs w:val="28"/>
          <w:shd w:val="clear" w:color="auto" w:fill="FFFFFF"/>
          <w:lang w:val="uk-UA" w:eastAsia="ru-RU"/>
        </w:rPr>
      </w:pPr>
      <w:r>
        <w:rPr>
          <w:rFonts w:ascii="Times New Roman" w:eastAsia="Arial" w:hAnsi="Times New Roman"/>
          <w:sz w:val="28"/>
          <w:szCs w:val="28"/>
          <w:shd w:val="clear" w:color="auto" w:fill="FFFFFF"/>
          <w:lang w:val="uk-UA" w:eastAsia="ru-RU"/>
        </w:rPr>
        <w:t>У 2025 році відбулося зростання податкових надходжень до місцевого бюджету на 24,811 млн грн. Зростання було забезпечене ростом доходів від сплати ПДФО (+18,901 млн грн), місцевих податків (+4,803 млн грн), акцизного податку (+0,902 млн грн) (табл. 1.9.1).</w:t>
      </w:r>
    </w:p>
    <w:p w:rsidR="00227FEF" w:rsidRDefault="00227FEF">
      <w:pPr>
        <w:spacing w:line="276" w:lineRule="auto"/>
        <w:ind w:firstLine="708"/>
        <w:jc w:val="both"/>
        <w:rPr>
          <w:rFonts w:ascii="Times New Roman" w:eastAsia="Arial" w:hAnsi="Times New Roman"/>
          <w:sz w:val="28"/>
          <w:szCs w:val="28"/>
          <w:shd w:val="clear" w:color="auto" w:fill="F4CCCC"/>
          <w:lang w:val="uk-UA" w:eastAsia="ru-RU"/>
        </w:rPr>
      </w:pPr>
    </w:p>
    <w:p w:rsidR="00227FEF" w:rsidRDefault="00494B9D">
      <w:pPr>
        <w:spacing w:line="276" w:lineRule="auto"/>
        <w:jc w:val="center"/>
      </w:pPr>
      <w:r>
        <w:rPr>
          <w:rFonts w:ascii="Times New Roman" w:eastAsia="Arial" w:hAnsi="Times New Roman"/>
          <w:b/>
          <w:sz w:val="28"/>
          <w:szCs w:val="28"/>
          <w:shd w:val="clear" w:color="auto" w:fill="FFFFFF"/>
          <w:lang w:val="uk-UA" w:eastAsia="ru-RU"/>
        </w:rPr>
        <w:t>Таблиця 1.9.1 Бюджетоутворюючі податкові надходження Тур’є-Реметівської громади</w:t>
      </w:r>
      <w:r>
        <w:rPr>
          <w:rStyle w:val="a6"/>
          <w:rFonts w:ascii="Times New Roman" w:eastAsia="Arial" w:hAnsi="Times New Roman"/>
          <w:b/>
          <w:sz w:val="28"/>
          <w:szCs w:val="28"/>
          <w:shd w:val="clear" w:color="auto" w:fill="FFFFFF"/>
          <w:lang w:val="uk-UA" w:eastAsia="ru-RU"/>
        </w:rPr>
        <w:footnoteReference w:id="5"/>
      </w:r>
    </w:p>
    <w:tbl>
      <w:tblPr>
        <w:tblW w:w="5000" w:type="pct"/>
        <w:tblLayout w:type="fixed"/>
        <w:tblLook w:val="0000" w:firstRow="0" w:lastRow="0" w:firstColumn="0" w:lastColumn="0" w:noHBand="0" w:noVBand="0"/>
      </w:tblPr>
      <w:tblGrid>
        <w:gridCol w:w="2864"/>
        <w:gridCol w:w="1450"/>
        <w:gridCol w:w="1304"/>
        <w:gridCol w:w="1318"/>
        <w:gridCol w:w="1316"/>
        <w:gridCol w:w="1857"/>
      </w:tblGrid>
      <w:tr w:rsidR="00227FEF" w:rsidRPr="00F155F9">
        <w:trPr>
          <w:trHeight w:val="315"/>
        </w:trPr>
        <w:tc>
          <w:tcPr>
            <w:tcW w:w="2761" w:type="dxa"/>
            <w:vMerge w:val="restart"/>
            <w:tcBorders>
              <w:top w:val="single" w:sz="4" w:space="0" w:color="000000"/>
              <w:left w:val="single" w:sz="4" w:space="0" w:color="000000"/>
              <w:bottom w:val="single" w:sz="4" w:space="0" w:color="000000"/>
              <w:right w:val="single" w:sz="4" w:space="0" w:color="000000"/>
            </w:tcBorders>
            <w:vAlign w:val="bottom"/>
          </w:tcPr>
          <w:p w:rsidR="00227FEF" w:rsidRDefault="00494B9D">
            <w:pPr>
              <w:jc w:val="center"/>
              <w:rPr>
                <w:rFonts w:ascii="Times New Roman" w:eastAsia="Times New Roman" w:hAnsi="Times New Roman"/>
                <w:b/>
                <w:bCs/>
                <w:color w:val="000000"/>
                <w:sz w:val="28"/>
                <w:szCs w:val="28"/>
                <w:lang w:val="uk-UA" w:eastAsia="ru-RU"/>
              </w:rPr>
            </w:pPr>
            <w:r>
              <w:rPr>
                <w:rFonts w:ascii="Times New Roman" w:eastAsia="Times New Roman" w:hAnsi="Times New Roman"/>
                <w:b/>
                <w:bCs/>
                <w:color w:val="000000"/>
                <w:sz w:val="28"/>
                <w:szCs w:val="28"/>
                <w:lang w:val="uk-UA" w:eastAsia="ru-RU"/>
              </w:rPr>
              <w:t> </w:t>
            </w:r>
          </w:p>
        </w:tc>
        <w:tc>
          <w:tcPr>
            <w:tcW w:w="2655" w:type="dxa"/>
            <w:gridSpan w:val="2"/>
            <w:tcBorders>
              <w:top w:val="single" w:sz="4" w:space="0" w:color="000000"/>
              <w:bottom w:val="single" w:sz="4" w:space="0" w:color="000000"/>
              <w:right w:val="single" w:sz="4" w:space="0" w:color="000000"/>
            </w:tcBorders>
            <w:vAlign w:val="bottom"/>
          </w:tcPr>
          <w:p w:rsidR="00227FEF" w:rsidRDefault="00494B9D">
            <w:pPr>
              <w:jc w:val="center"/>
              <w:rPr>
                <w:rFonts w:ascii="Times New Roman" w:eastAsia="Times New Roman" w:hAnsi="Times New Roman"/>
                <w:b/>
                <w:bCs/>
                <w:color w:val="000000"/>
                <w:sz w:val="28"/>
                <w:szCs w:val="28"/>
                <w:lang w:val="uk-UA" w:eastAsia="ru-RU"/>
              </w:rPr>
            </w:pPr>
            <w:r>
              <w:rPr>
                <w:rFonts w:ascii="Times New Roman" w:eastAsia="Times New Roman" w:hAnsi="Times New Roman"/>
                <w:b/>
                <w:bCs/>
                <w:color w:val="000000"/>
                <w:sz w:val="28"/>
                <w:szCs w:val="28"/>
                <w:lang w:val="uk-UA" w:eastAsia="ru-RU"/>
              </w:rPr>
              <w:t>2024</w:t>
            </w:r>
          </w:p>
        </w:tc>
        <w:tc>
          <w:tcPr>
            <w:tcW w:w="2540" w:type="dxa"/>
            <w:gridSpan w:val="2"/>
            <w:tcBorders>
              <w:top w:val="single" w:sz="4" w:space="0" w:color="000000"/>
              <w:bottom w:val="single" w:sz="4" w:space="0" w:color="000000"/>
              <w:right w:val="single" w:sz="4" w:space="0" w:color="000000"/>
            </w:tcBorders>
            <w:vAlign w:val="bottom"/>
          </w:tcPr>
          <w:p w:rsidR="00227FEF" w:rsidRDefault="00494B9D">
            <w:pPr>
              <w:jc w:val="center"/>
              <w:rPr>
                <w:rFonts w:ascii="Times New Roman" w:eastAsia="Times New Roman" w:hAnsi="Times New Roman"/>
                <w:b/>
                <w:bCs/>
                <w:color w:val="000000"/>
                <w:sz w:val="28"/>
                <w:szCs w:val="28"/>
                <w:lang w:val="uk-UA" w:eastAsia="ru-RU"/>
              </w:rPr>
            </w:pPr>
            <w:r>
              <w:rPr>
                <w:rFonts w:ascii="Times New Roman" w:eastAsia="Times New Roman" w:hAnsi="Times New Roman"/>
                <w:b/>
                <w:bCs/>
                <w:color w:val="000000"/>
                <w:sz w:val="28"/>
                <w:szCs w:val="28"/>
                <w:lang w:val="uk-UA" w:eastAsia="ru-RU"/>
              </w:rPr>
              <w:t>2025</w:t>
            </w:r>
          </w:p>
        </w:tc>
        <w:tc>
          <w:tcPr>
            <w:tcW w:w="1790" w:type="dxa"/>
            <w:vMerge w:val="restart"/>
            <w:tcBorders>
              <w:top w:val="single" w:sz="4" w:space="0" w:color="000000"/>
              <w:left w:val="single" w:sz="4" w:space="0" w:color="000000"/>
              <w:bottom w:val="single" w:sz="4" w:space="0" w:color="000000"/>
              <w:right w:val="single" w:sz="4" w:space="0" w:color="000000"/>
            </w:tcBorders>
          </w:tcPr>
          <w:p w:rsidR="00227FEF" w:rsidRDefault="00494B9D">
            <w:pPr>
              <w:jc w:val="center"/>
              <w:rPr>
                <w:rFonts w:ascii="Times New Roman" w:eastAsia="Times New Roman" w:hAnsi="Times New Roman"/>
                <w:b/>
                <w:bCs/>
                <w:color w:val="000000"/>
                <w:sz w:val="28"/>
                <w:szCs w:val="28"/>
                <w:lang w:val="uk-UA" w:eastAsia="ru-RU"/>
              </w:rPr>
            </w:pPr>
            <w:r>
              <w:rPr>
                <w:rFonts w:ascii="Times New Roman" w:eastAsia="Times New Roman" w:hAnsi="Times New Roman"/>
                <w:b/>
                <w:bCs/>
                <w:color w:val="000000"/>
                <w:sz w:val="28"/>
                <w:szCs w:val="28"/>
                <w:lang w:val="uk-UA" w:eastAsia="ru-RU"/>
              </w:rPr>
              <w:t>Динаміка 2025 до 2024 рр, млн грн</w:t>
            </w:r>
          </w:p>
        </w:tc>
      </w:tr>
      <w:tr w:rsidR="00227FEF">
        <w:trPr>
          <w:trHeight w:val="552"/>
        </w:trPr>
        <w:tc>
          <w:tcPr>
            <w:tcW w:w="2761" w:type="dxa"/>
            <w:vMerge/>
            <w:tcBorders>
              <w:top w:val="single" w:sz="4" w:space="0" w:color="000000"/>
              <w:left w:val="single" w:sz="4" w:space="0" w:color="000000"/>
              <w:bottom w:val="single" w:sz="4" w:space="0" w:color="000000"/>
              <w:right w:val="single" w:sz="4" w:space="0" w:color="000000"/>
            </w:tcBorders>
            <w:vAlign w:val="bottom"/>
          </w:tcPr>
          <w:p w:rsidR="00227FEF" w:rsidRDefault="00227FEF">
            <w:pPr>
              <w:snapToGrid w:val="0"/>
              <w:rPr>
                <w:rFonts w:ascii="Times New Roman" w:eastAsia="Times New Roman" w:hAnsi="Times New Roman"/>
                <w:b/>
                <w:bCs/>
                <w:color w:val="000000"/>
                <w:sz w:val="28"/>
                <w:szCs w:val="28"/>
                <w:lang w:val="uk-UA" w:eastAsia="ru-RU"/>
              </w:rPr>
            </w:pPr>
          </w:p>
        </w:tc>
        <w:tc>
          <w:tcPr>
            <w:tcW w:w="1398" w:type="dxa"/>
            <w:tcBorders>
              <w:bottom w:val="single" w:sz="4" w:space="0" w:color="000000"/>
              <w:right w:val="single" w:sz="4" w:space="0" w:color="000000"/>
            </w:tcBorders>
          </w:tcPr>
          <w:p w:rsidR="00227FEF" w:rsidRDefault="00494B9D">
            <w:pPr>
              <w:jc w:val="center"/>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млн грн</w:t>
            </w:r>
          </w:p>
        </w:tc>
        <w:tc>
          <w:tcPr>
            <w:tcW w:w="1257" w:type="dxa"/>
            <w:tcBorders>
              <w:bottom w:val="single" w:sz="4" w:space="0" w:color="000000"/>
              <w:right w:val="single" w:sz="4" w:space="0" w:color="000000"/>
            </w:tcBorders>
          </w:tcPr>
          <w:p w:rsidR="00227FEF" w:rsidRDefault="00494B9D">
            <w:pPr>
              <w:jc w:val="center"/>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 у заг. обсязі ПН</w:t>
            </w:r>
          </w:p>
        </w:tc>
        <w:tc>
          <w:tcPr>
            <w:tcW w:w="1271" w:type="dxa"/>
            <w:tcBorders>
              <w:bottom w:val="single" w:sz="4" w:space="0" w:color="000000"/>
              <w:right w:val="single" w:sz="4" w:space="0" w:color="000000"/>
            </w:tcBorders>
          </w:tcPr>
          <w:p w:rsidR="00227FEF" w:rsidRDefault="00494B9D">
            <w:pPr>
              <w:jc w:val="center"/>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млн грн</w:t>
            </w:r>
          </w:p>
        </w:tc>
        <w:tc>
          <w:tcPr>
            <w:tcW w:w="1269" w:type="dxa"/>
            <w:tcBorders>
              <w:bottom w:val="single" w:sz="4" w:space="0" w:color="000000"/>
              <w:right w:val="single" w:sz="4" w:space="0" w:color="000000"/>
            </w:tcBorders>
          </w:tcPr>
          <w:p w:rsidR="00227FEF" w:rsidRDefault="00494B9D">
            <w:pPr>
              <w:jc w:val="center"/>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 у заг. обсязі ПН</w:t>
            </w:r>
          </w:p>
        </w:tc>
        <w:tc>
          <w:tcPr>
            <w:tcW w:w="1790" w:type="dxa"/>
            <w:vMerge/>
            <w:tcBorders>
              <w:top w:val="single" w:sz="4" w:space="0" w:color="000000"/>
              <w:left w:val="single" w:sz="4" w:space="0" w:color="000000"/>
              <w:bottom w:val="single" w:sz="4" w:space="0" w:color="000000"/>
              <w:right w:val="single" w:sz="4" w:space="0" w:color="000000"/>
            </w:tcBorders>
          </w:tcPr>
          <w:p w:rsidR="00227FEF" w:rsidRDefault="00227FEF">
            <w:pPr>
              <w:snapToGrid w:val="0"/>
              <w:rPr>
                <w:rFonts w:ascii="Times New Roman" w:eastAsia="Times New Roman" w:hAnsi="Times New Roman"/>
                <w:b/>
                <w:bCs/>
                <w:color w:val="000000"/>
                <w:sz w:val="28"/>
                <w:szCs w:val="28"/>
                <w:lang w:val="uk-UA" w:eastAsia="ru-RU"/>
              </w:rPr>
            </w:pPr>
          </w:p>
        </w:tc>
      </w:tr>
      <w:tr w:rsidR="00227FEF">
        <w:trPr>
          <w:trHeight w:val="315"/>
        </w:trPr>
        <w:tc>
          <w:tcPr>
            <w:tcW w:w="2761" w:type="dxa"/>
            <w:tcBorders>
              <w:left w:val="single" w:sz="4" w:space="0" w:color="000000"/>
              <w:bottom w:val="single" w:sz="4" w:space="0" w:color="000000"/>
              <w:right w:val="single" w:sz="4" w:space="0" w:color="000000"/>
            </w:tcBorders>
            <w:vAlign w:val="bottom"/>
          </w:tcPr>
          <w:p w:rsidR="00227FEF" w:rsidRDefault="00494B9D">
            <w:pPr>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Податкові надходження (ПН), всього</w:t>
            </w:r>
          </w:p>
        </w:tc>
        <w:tc>
          <w:tcPr>
            <w:tcW w:w="1398" w:type="dxa"/>
            <w:tcBorders>
              <w:bottom w:val="single" w:sz="4" w:space="0" w:color="000000"/>
              <w:right w:val="single" w:sz="4" w:space="0" w:color="000000"/>
            </w:tcBorders>
            <w:vAlign w:val="bottom"/>
          </w:tcPr>
          <w:p w:rsidR="00227FEF" w:rsidRDefault="00494B9D">
            <w:pPr>
              <w:jc w:val="right"/>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45,473</w:t>
            </w:r>
          </w:p>
        </w:tc>
        <w:tc>
          <w:tcPr>
            <w:tcW w:w="1257" w:type="dxa"/>
            <w:tcBorders>
              <w:bottom w:val="single" w:sz="4" w:space="0" w:color="000000"/>
              <w:right w:val="single" w:sz="4" w:space="0" w:color="000000"/>
            </w:tcBorders>
            <w:vAlign w:val="bottom"/>
          </w:tcPr>
          <w:p w:rsidR="00227FEF" w:rsidRDefault="00494B9D">
            <w:pPr>
              <w:jc w:val="right"/>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100,00</w:t>
            </w:r>
          </w:p>
        </w:tc>
        <w:tc>
          <w:tcPr>
            <w:tcW w:w="1271" w:type="dxa"/>
            <w:tcBorders>
              <w:bottom w:val="single" w:sz="4" w:space="0" w:color="000000"/>
              <w:right w:val="single" w:sz="4" w:space="0" w:color="000000"/>
            </w:tcBorders>
            <w:vAlign w:val="bottom"/>
          </w:tcPr>
          <w:p w:rsidR="00227FEF" w:rsidRDefault="00494B9D">
            <w:pPr>
              <w:jc w:val="right"/>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70,285</w:t>
            </w:r>
          </w:p>
        </w:tc>
        <w:tc>
          <w:tcPr>
            <w:tcW w:w="1269" w:type="dxa"/>
            <w:tcBorders>
              <w:bottom w:val="single" w:sz="4" w:space="0" w:color="000000"/>
              <w:right w:val="single" w:sz="4" w:space="0" w:color="000000"/>
            </w:tcBorders>
            <w:vAlign w:val="bottom"/>
          </w:tcPr>
          <w:p w:rsidR="00227FEF" w:rsidRDefault="00494B9D">
            <w:pPr>
              <w:jc w:val="right"/>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100,00</w:t>
            </w:r>
          </w:p>
        </w:tc>
        <w:tc>
          <w:tcPr>
            <w:tcW w:w="1790" w:type="dxa"/>
            <w:tcBorders>
              <w:bottom w:val="single" w:sz="4" w:space="0" w:color="000000"/>
              <w:right w:val="single" w:sz="4" w:space="0" w:color="000000"/>
            </w:tcBorders>
            <w:vAlign w:val="bottom"/>
          </w:tcPr>
          <w:p w:rsidR="00227FEF" w:rsidRDefault="00494B9D">
            <w:pPr>
              <w:jc w:val="right"/>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24,811</w:t>
            </w:r>
          </w:p>
        </w:tc>
      </w:tr>
      <w:tr w:rsidR="00227FEF">
        <w:trPr>
          <w:trHeight w:val="315"/>
        </w:trPr>
        <w:tc>
          <w:tcPr>
            <w:tcW w:w="2761" w:type="dxa"/>
            <w:tcBorders>
              <w:left w:val="single" w:sz="4" w:space="0" w:color="000000"/>
              <w:bottom w:val="single" w:sz="4" w:space="0" w:color="000000"/>
              <w:right w:val="single" w:sz="4" w:space="0" w:color="000000"/>
            </w:tcBorders>
            <w:vAlign w:val="bottom"/>
          </w:tcPr>
          <w:p w:rsidR="00227FEF" w:rsidRDefault="00494B9D">
            <w:pPr>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ПДФО</w:t>
            </w:r>
          </w:p>
        </w:tc>
        <w:tc>
          <w:tcPr>
            <w:tcW w:w="1398" w:type="dxa"/>
            <w:tcBorders>
              <w:bottom w:val="single" w:sz="4" w:space="0" w:color="000000"/>
              <w:right w:val="single" w:sz="4" w:space="0" w:color="000000"/>
            </w:tcBorders>
            <w:vAlign w:val="bottom"/>
          </w:tcPr>
          <w:p w:rsidR="00227FEF" w:rsidRDefault="00494B9D">
            <w:pPr>
              <w:jc w:val="right"/>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28,109</w:t>
            </w:r>
          </w:p>
        </w:tc>
        <w:tc>
          <w:tcPr>
            <w:tcW w:w="1257" w:type="dxa"/>
            <w:tcBorders>
              <w:bottom w:val="single" w:sz="4" w:space="0" w:color="000000"/>
              <w:right w:val="single" w:sz="4" w:space="0" w:color="000000"/>
            </w:tcBorders>
            <w:vAlign w:val="bottom"/>
          </w:tcPr>
          <w:p w:rsidR="00227FEF" w:rsidRDefault="00494B9D">
            <w:pPr>
              <w:jc w:val="right"/>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61,81</w:t>
            </w:r>
          </w:p>
        </w:tc>
        <w:tc>
          <w:tcPr>
            <w:tcW w:w="1271" w:type="dxa"/>
            <w:tcBorders>
              <w:bottom w:val="single" w:sz="4" w:space="0" w:color="000000"/>
              <w:right w:val="single" w:sz="4" w:space="0" w:color="000000"/>
            </w:tcBorders>
            <w:vAlign w:val="bottom"/>
          </w:tcPr>
          <w:p w:rsidR="00227FEF" w:rsidRDefault="00494B9D">
            <w:pPr>
              <w:jc w:val="right"/>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47,010</w:t>
            </w:r>
          </w:p>
        </w:tc>
        <w:tc>
          <w:tcPr>
            <w:tcW w:w="1269" w:type="dxa"/>
            <w:tcBorders>
              <w:bottom w:val="single" w:sz="4" w:space="0" w:color="000000"/>
              <w:right w:val="single" w:sz="4" w:space="0" w:color="000000"/>
            </w:tcBorders>
            <w:vAlign w:val="bottom"/>
          </w:tcPr>
          <w:p w:rsidR="00227FEF" w:rsidRDefault="00494B9D">
            <w:pPr>
              <w:jc w:val="right"/>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66,89</w:t>
            </w:r>
          </w:p>
        </w:tc>
        <w:tc>
          <w:tcPr>
            <w:tcW w:w="1790" w:type="dxa"/>
            <w:tcBorders>
              <w:bottom w:val="single" w:sz="4" w:space="0" w:color="000000"/>
              <w:right w:val="single" w:sz="4" w:space="0" w:color="000000"/>
            </w:tcBorders>
            <w:vAlign w:val="bottom"/>
          </w:tcPr>
          <w:p w:rsidR="00227FEF" w:rsidRDefault="00494B9D">
            <w:pPr>
              <w:jc w:val="right"/>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18,901</w:t>
            </w:r>
          </w:p>
        </w:tc>
      </w:tr>
      <w:tr w:rsidR="00227FEF">
        <w:trPr>
          <w:trHeight w:val="315"/>
        </w:trPr>
        <w:tc>
          <w:tcPr>
            <w:tcW w:w="2761" w:type="dxa"/>
            <w:tcBorders>
              <w:left w:val="single" w:sz="4" w:space="0" w:color="000000"/>
              <w:bottom w:val="single" w:sz="4" w:space="0" w:color="000000"/>
              <w:right w:val="single" w:sz="4" w:space="0" w:color="000000"/>
            </w:tcBorders>
            <w:vAlign w:val="bottom"/>
          </w:tcPr>
          <w:p w:rsidR="00227FEF" w:rsidRDefault="00494B9D">
            <w:pPr>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Акцизний податок</w:t>
            </w:r>
          </w:p>
        </w:tc>
        <w:tc>
          <w:tcPr>
            <w:tcW w:w="1398" w:type="dxa"/>
            <w:tcBorders>
              <w:bottom w:val="single" w:sz="4" w:space="0" w:color="000000"/>
              <w:right w:val="single" w:sz="4" w:space="0" w:color="000000"/>
            </w:tcBorders>
            <w:vAlign w:val="bottom"/>
          </w:tcPr>
          <w:p w:rsidR="00227FEF" w:rsidRDefault="00494B9D">
            <w:pPr>
              <w:jc w:val="right"/>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1,872</w:t>
            </w:r>
          </w:p>
        </w:tc>
        <w:tc>
          <w:tcPr>
            <w:tcW w:w="1257" w:type="dxa"/>
            <w:tcBorders>
              <w:bottom w:val="single" w:sz="4" w:space="0" w:color="000000"/>
              <w:right w:val="single" w:sz="4" w:space="0" w:color="000000"/>
            </w:tcBorders>
            <w:vAlign w:val="bottom"/>
          </w:tcPr>
          <w:p w:rsidR="00227FEF" w:rsidRDefault="00494B9D">
            <w:pPr>
              <w:jc w:val="right"/>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4,12</w:t>
            </w:r>
          </w:p>
        </w:tc>
        <w:tc>
          <w:tcPr>
            <w:tcW w:w="1271" w:type="dxa"/>
            <w:tcBorders>
              <w:bottom w:val="single" w:sz="4" w:space="0" w:color="000000"/>
              <w:right w:val="single" w:sz="4" w:space="0" w:color="000000"/>
            </w:tcBorders>
            <w:vAlign w:val="bottom"/>
          </w:tcPr>
          <w:p w:rsidR="00227FEF" w:rsidRDefault="00494B9D">
            <w:pPr>
              <w:jc w:val="right"/>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2,773</w:t>
            </w:r>
          </w:p>
        </w:tc>
        <w:tc>
          <w:tcPr>
            <w:tcW w:w="1269" w:type="dxa"/>
            <w:tcBorders>
              <w:bottom w:val="single" w:sz="4" w:space="0" w:color="000000"/>
              <w:right w:val="single" w:sz="4" w:space="0" w:color="000000"/>
            </w:tcBorders>
            <w:vAlign w:val="bottom"/>
          </w:tcPr>
          <w:p w:rsidR="00227FEF" w:rsidRDefault="00494B9D">
            <w:pPr>
              <w:jc w:val="right"/>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3,95</w:t>
            </w:r>
          </w:p>
        </w:tc>
        <w:tc>
          <w:tcPr>
            <w:tcW w:w="1790" w:type="dxa"/>
            <w:tcBorders>
              <w:bottom w:val="single" w:sz="4" w:space="0" w:color="000000"/>
              <w:right w:val="single" w:sz="4" w:space="0" w:color="000000"/>
            </w:tcBorders>
            <w:vAlign w:val="bottom"/>
          </w:tcPr>
          <w:p w:rsidR="00227FEF" w:rsidRDefault="00494B9D">
            <w:pPr>
              <w:jc w:val="right"/>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0,902</w:t>
            </w:r>
          </w:p>
        </w:tc>
      </w:tr>
      <w:tr w:rsidR="00227FEF">
        <w:trPr>
          <w:trHeight w:val="315"/>
        </w:trPr>
        <w:tc>
          <w:tcPr>
            <w:tcW w:w="2761" w:type="dxa"/>
            <w:tcBorders>
              <w:left w:val="single" w:sz="4" w:space="0" w:color="000000"/>
              <w:bottom w:val="single" w:sz="4" w:space="0" w:color="000000"/>
              <w:right w:val="single" w:sz="4" w:space="0" w:color="000000"/>
            </w:tcBorders>
            <w:vAlign w:val="bottom"/>
          </w:tcPr>
          <w:p w:rsidR="00227FEF" w:rsidRDefault="00494B9D">
            <w:pPr>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Рентні платежі</w:t>
            </w:r>
          </w:p>
        </w:tc>
        <w:tc>
          <w:tcPr>
            <w:tcW w:w="1398" w:type="dxa"/>
            <w:tcBorders>
              <w:bottom w:val="single" w:sz="4" w:space="0" w:color="000000"/>
              <w:right w:val="single" w:sz="4" w:space="0" w:color="000000"/>
            </w:tcBorders>
            <w:vAlign w:val="bottom"/>
          </w:tcPr>
          <w:p w:rsidR="00227FEF" w:rsidRDefault="00494B9D">
            <w:pPr>
              <w:jc w:val="right"/>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0,718</w:t>
            </w:r>
          </w:p>
        </w:tc>
        <w:tc>
          <w:tcPr>
            <w:tcW w:w="1257" w:type="dxa"/>
            <w:tcBorders>
              <w:bottom w:val="single" w:sz="4" w:space="0" w:color="000000"/>
              <w:right w:val="single" w:sz="4" w:space="0" w:color="000000"/>
            </w:tcBorders>
            <w:vAlign w:val="bottom"/>
          </w:tcPr>
          <w:p w:rsidR="00227FEF" w:rsidRDefault="00494B9D">
            <w:pPr>
              <w:jc w:val="right"/>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1,58</w:t>
            </w:r>
          </w:p>
        </w:tc>
        <w:tc>
          <w:tcPr>
            <w:tcW w:w="1271" w:type="dxa"/>
            <w:tcBorders>
              <w:bottom w:val="single" w:sz="4" w:space="0" w:color="000000"/>
              <w:right w:val="single" w:sz="4" w:space="0" w:color="000000"/>
            </w:tcBorders>
            <w:vAlign w:val="bottom"/>
          </w:tcPr>
          <w:p w:rsidR="00227FEF" w:rsidRDefault="00494B9D">
            <w:pPr>
              <w:jc w:val="right"/>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0,961</w:t>
            </w:r>
          </w:p>
        </w:tc>
        <w:tc>
          <w:tcPr>
            <w:tcW w:w="1269" w:type="dxa"/>
            <w:tcBorders>
              <w:bottom w:val="single" w:sz="4" w:space="0" w:color="000000"/>
              <w:right w:val="single" w:sz="4" w:space="0" w:color="000000"/>
            </w:tcBorders>
            <w:vAlign w:val="bottom"/>
          </w:tcPr>
          <w:p w:rsidR="00227FEF" w:rsidRDefault="00494B9D">
            <w:pPr>
              <w:jc w:val="right"/>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1,37</w:t>
            </w:r>
          </w:p>
        </w:tc>
        <w:tc>
          <w:tcPr>
            <w:tcW w:w="1790" w:type="dxa"/>
            <w:tcBorders>
              <w:bottom w:val="single" w:sz="4" w:space="0" w:color="000000"/>
              <w:right w:val="single" w:sz="4" w:space="0" w:color="000000"/>
            </w:tcBorders>
            <w:vAlign w:val="bottom"/>
          </w:tcPr>
          <w:p w:rsidR="00227FEF" w:rsidRDefault="00494B9D">
            <w:pPr>
              <w:jc w:val="right"/>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0,243</w:t>
            </w:r>
          </w:p>
        </w:tc>
      </w:tr>
      <w:tr w:rsidR="00227FEF">
        <w:trPr>
          <w:trHeight w:val="315"/>
        </w:trPr>
        <w:tc>
          <w:tcPr>
            <w:tcW w:w="2761" w:type="dxa"/>
            <w:tcBorders>
              <w:left w:val="single" w:sz="4" w:space="0" w:color="000000"/>
              <w:bottom w:val="single" w:sz="4" w:space="0" w:color="000000"/>
              <w:right w:val="single" w:sz="4" w:space="0" w:color="000000"/>
            </w:tcBorders>
            <w:vAlign w:val="bottom"/>
          </w:tcPr>
          <w:p w:rsidR="00227FEF" w:rsidRDefault="00494B9D">
            <w:pPr>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Податки на майно</w:t>
            </w:r>
          </w:p>
        </w:tc>
        <w:tc>
          <w:tcPr>
            <w:tcW w:w="1398" w:type="dxa"/>
            <w:tcBorders>
              <w:bottom w:val="single" w:sz="4" w:space="0" w:color="000000"/>
              <w:right w:val="single" w:sz="4" w:space="0" w:color="000000"/>
            </w:tcBorders>
            <w:vAlign w:val="bottom"/>
          </w:tcPr>
          <w:p w:rsidR="00227FEF" w:rsidRDefault="00494B9D">
            <w:pPr>
              <w:jc w:val="right"/>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5,080</w:t>
            </w:r>
          </w:p>
        </w:tc>
        <w:tc>
          <w:tcPr>
            <w:tcW w:w="1257" w:type="dxa"/>
            <w:tcBorders>
              <w:bottom w:val="single" w:sz="4" w:space="0" w:color="000000"/>
              <w:right w:val="single" w:sz="4" w:space="0" w:color="000000"/>
            </w:tcBorders>
            <w:vAlign w:val="bottom"/>
          </w:tcPr>
          <w:p w:rsidR="00227FEF" w:rsidRDefault="00494B9D">
            <w:pPr>
              <w:jc w:val="right"/>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11,17</w:t>
            </w:r>
          </w:p>
        </w:tc>
        <w:tc>
          <w:tcPr>
            <w:tcW w:w="1271" w:type="dxa"/>
            <w:tcBorders>
              <w:bottom w:val="single" w:sz="4" w:space="0" w:color="000000"/>
              <w:right w:val="single" w:sz="4" w:space="0" w:color="000000"/>
            </w:tcBorders>
            <w:vAlign w:val="bottom"/>
          </w:tcPr>
          <w:p w:rsidR="00227FEF" w:rsidRDefault="00494B9D">
            <w:pPr>
              <w:jc w:val="right"/>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7,821</w:t>
            </w:r>
          </w:p>
        </w:tc>
        <w:tc>
          <w:tcPr>
            <w:tcW w:w="1269" w:type="dxa"/>
            <w:tcBorders>
              <w:bottom w:val="single" w:sz="4" w:space="0" w:color="000000"/>
              <w:right w:val="single" w:sz="4" w:space="0" w:color="000000"/>
            </w:tcBorders>
            <w:vAlign w:val="bottom"/>
          </w:tcPr>
          <w:p w:rsidR="00227FEF" w:rsidRDefault="00494B9D">
            <w:pPr>
              <w:jc w:val="right"/>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11,13</w:t>
            </w:r>
          </w:p>
        </w:tc>
        <w:tc>
          <w:tcPr>
            <w:tcW w:w="1790" w:type="dxa"/>
            <w:tcBorders>
              <w:bottom w:val="single" w:sz="4" w:space="0" w:color="000000"/>
              <w:right w:val="single" w:sz="4" w:space="0" w:color="000000"/>
            </w:tcBorders>
            <w:vAlign w:val="bottom"/>
          </w:tcPr>
          <w:p w:rsidR="00227FEF" w:rsidRDefault="00494B9D">
            <w:pPr>
              <w:jc w:val="right"/>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2,741</w:t>
            </w:r>
          </w:p>
        </w:tc>
      </w:tr>
      <w:tr w:rsidR="00227FEF">
        <w:trPr>
          <w:trHeight w:val="315"/>
        </w:trPr>
        <w:tc>
          <w:tcPr>
            <w:tcW w:w="2761" w:type="dxa"/>
            <w:tcBorders>
              <w:left w:val="single" w:sz="4" w:space="0" w:color="000000"/>
              <w:bottom w:val="single" w:sz="4" w:space="0" w:color="000000"/>
              <w:right w:val="single" w:sz="4" w:space="0" w:color="000000"/>
            </w:tcBorders>
            <w:vAlign w:val="bottom"/>
          </w:tcPr>
          <w:p w:rsidR="00227FEF" w:rsidRDefault="00494B9D">
            <w:pPr>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Єдиний податок</w:t>
            </w:r>
          </w:p>
        </w:tc>
        <w:tc>
          <w:tcPr>
            <w:tcW w:w="1398" w:type="dxa"/>
            <w:tcBorders>
              <w:bottom w:val="single" w:sz="4" w:space="0" w:color="000000"/>
              <w:right w:val="single" w:sz="4" w:space="0" w:color="000000"/>
            </w:tcBorders>
            <w:vAlign w:val="bottom"/>
          </w:tcPr>
          <w:p w:rsidR="00227FEF" w:rsidRDefault="00494B9D">
            <w:pPr>
              <w:jc w:val="right"/>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9,082</w:t>
            </w:r>
          </w:p>
        </w:tc>
        <w:tc>
          <w:tcPr>
            <w:tcW w:w="1257" w:type="dxa"/>
            <w:tcBorders>
              <w:bottom w:val="single" w:sz="4" w:space="0" w:color="000000"/>
              <w:right w:val="single" w:sz="4" w:space="0" w:color="000000"/>
            </w:tcBorders>
            <w:vAlign w:val="bottom"/>
          </w:tcPr>
          <w:p w:rsidR="00227FEF" w:rsidRDefault="00494B9D">
            <w:pPr>
              <w:jc w:val="right"/>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19,97</w:t>
            </w:r>
          </w:p>
        </w:tc>
        <w:tc>
          <w:tcPr>
            <w:tcW w:w="1271" w:type="dxa"/>
            <w:tcBorders>
              <w:bottom w:val="single" w:sz="4" w:space="0" w:color="000000"/>
              <w:right w:val="single" w:sz="4" w:space="0" w:color="000000"/>
            </w:tcBorders>
            <w:vAlign w:val="bottom"/>
          </w:tcPr>
          <w:p w:rsidR="00227FEF" w:rsidRDefault="00494B9D">
            <w:pPr>
              <w:jc w:val="right"/>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11,235</w:t>
            </w:r>
          </w:p>
        </w:tc>
        <w:tc>
          <w:tcPr>
            <w:tcW w:w="1269" w:type="dxa"/>
            <w:tcBorders>
              <w:bottom w:val="single" w:sz="4" w:space="0" w:color="000000"/>
              <w:right w:val="single" w:sz="4" w:space="0" w:color="000000"/>
            </w:tcBorders>
            <w:vAlign w:val="bottom"/>
          </w:tcPr>
          <w:p w:rsidR="00227FEF" w:rsidRDefault="00494B9D">
            <w:pPr>
              <w:jc w:val="right"/>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15,99</w:t>
            </w:r>
          </w:p>
        </w:tc>
        <w:tc>
          <w:tcPr>
            <w:tcW w:w="1790" w:type="dxa"/>
            <w:tcBorders>
              <w:bottom w:val="single" w:sz="4" w:space="0" w:color="000000"/>
              <w:right w:val="single" w:sz="4" w:space="0" w:color="000000"/>
            </w:tcBorders>
            <w:vAlign w:val="bottom"/>
          </w:tcPr>
          <w:p w:rsidR="00227FEF" w:rsidRDefault="00494B9D">
            <w:pPr>
              <w:jc w:val="right"/>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2,154</w:t>
            </w:r>
          </w:p>
        </w:tc>
      </w:tr>
      <w:tr w:rsidR="00227FEF">
        <w:trPr>
          <w:trHeight w:val="315"/>
        </w:trPr>
        <w:tc>
          <w:tcPr>
            <w:tcW w:w="2761" w:type="dxa"/>
            <w:tcBorders>
              <w:left w:val="single" w:sz="4" w:space="0" w:color="000000"/>
              <w:bottom w:val="single" w:sz="4" w:space="0" w:color="000000"/>
              <w:right w:val="single" w:sz="4" w:space="0" w:color="000000"/>
            </w:tcBorders>
            <w:vAlign w:val="bottom"/>
          </w:tcPr>
          <w:p w:rsidR="00227FEF" w:rsidRDefault="00494B9D">
            <w:pPr>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lastRenderedPageBreak/>
              <w:t>Туристичний збір</w:t>
            </w:r>
          </w:p>
        </w:tc>
        <w:tc>
          <w:tcPr>
            <w:tcW w:w="1398" w:type="dxa"/>
            <w:tcBorders>
              <w:bottom w:val="single" w:sz="4" w:space="0" w:color="000000"/>
              <w:right w:val="single" w:sz="4" w:space="0" w:color="000000"/>
            </w:tcBorders>
            <w:vAlign w:val="bottom"/>
          </w:tcPr>
          <w:p w:rsidR="00227FEF" w:rsidRDefault="00494B9D">
            <w:pPr>
              <w:jc w:val="right"/>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0,587</w:t>
            </w:r>
          </w:p>
        </w:tc>
        <w:tc>
          <w:tcPr>
            <w:tcW w:w="1257" w:type="dxa"/>
            <w:tcBorders>
              <w:bottom w:val="single" w:sz="4" w:space="0" w:color="000000"/>
              <w:right w:val="single" w:sz="4" w:space="0" w:color="000000"/>
            </w:tcBorders>
            <w:vAlign w:val="bottom"/>
          </w:tcPr>
          <w:p w:rsidR="00227FEF" w:rsidRDefault="00494B9D">
            <w:pPr>
              <w:jc w:val="right"/>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1,29</w:t>
            </w:r>
          </w:p>
        </w:tc>
        <w:tc>
          <w:tcPr>
            <w:tcW w:w="1271" w:type="dxa"/>
            <w:tcBorders>
              <w:bottom w:val="single" w:sz="4" w:space="0" w:color="000000"/>
              <w:right w:val="single" w:sz="4" w:space="0" w:color="000000"/>
            </w:tcBorders>
            <w:vAlign w:val="bottom"/>
          </w:tcPr>
          <w:p w:rsidR="00227FEF" w:rsidRDefault="00494B9D">
            <w:pPr>
              <w:jc w:val="right"/>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0,496</w:t>
            </w:r>
          </w:p>
        </w:tc>
        <w:tc>
          <w:tcPr>
            <w:tcW w:w="1269" w:type="dxa"/>
            <w:tcBorders>
              <w:bottom w:val="single" w:sz="4" w:space="0" w:color="000000"/>
              <w:right w:val="single" w:sz="4" w:space="0" w:color="000000"/>
            </w:tcBorders>
            <w:vAlign w:val="bottom"/>
          </w:tcPr>
          <w:p w:rsidR="00227FEF" w:rsidRDefault="00494B9D">
            <w:pPr>
              <w:jc w:val="right"/>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0,71</w:t>
            </w:r>
          </w:p>
        </w:tc>
        <w:tc>
          <w:tcPr>
            <w:tcW w:w="1790" w:type="dxa"/>
            <w:tcBorders>
              <w:bottom w:val="single" w:sz="4" w:space="0" w:color="000000"/>
              <w:right w:val="single" w:sz="4" w:space="0" w:color="000000"/>
            </w:tcBorders>
            <w:vAlign w:val="bottom"/>
          </w:tcPr>
          <w:p w:rsidR="00227FEF" w:rsidRDefault="00494B9D">
            <w:pPr>
              <w:jc w:val="right"/>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-0,091</w:t>
            </w:r>
          </w:p>
        </w:tc>
      </w:tr>
      <w:tr w:rsidR="00227FEF">
        <w:trPr>
          <w:trHeight w:val="315"/>
        </w:trPr>
        <w:tc>
          <w:tcPr>
            <w:tcW w:w="2761" w:type="dxa"/>
            <w:tcBorders>
              <w:left w:val="single" w:sz="4" w:space="0" w:color="000000"/>
              <w:bottom w:val="single" w:sz="4" w:space="0" w:color="000000"/>
              <w:right w:val="single" w:sz="4" w:space="0" w:color="000000"/>
            </w:tcBorders>
            <w:vAlign w:val="bottom"/>
          </w:tcPr>
          <w:p w:rsidR="00227FEF" w:rsidRDefault="00494B9D">
            <w:pPr>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Інші</w:t>
            </w:r>
          </w:p>
        </w:tc>
        <w:tc>
          <w:tcPr>
            <w:tcW w:w="1398" w:type="dxa"/>
            <w:tcBorders>
              <w:bottom w:val="single" w:sz="4" w:space="0" w:color="000000"/>
              <w:right w:val="single" w:sz="4" w:space="0" w:color="000000"/>
            </w:tcBorders>
            <w:vAlign w:val="bottom"/>
          </w:tcPr>
          <w:p w:rsidR="00227FEF" w:rsidRDefault="00494B9D">
            <w:pPr>
              <w:jc w:val="right"/>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0,026</w:t>
            </w:r>
          </w:p>
        </w:tc>
        <w:tc>
          <w:tcPr>
            <w:tcW w:w="1257" w:type="dxa"/>
            <w:tcBorders>
              <w:bottom w:val="single" w:sz="4" w:space="0" w:color="000000"/>
              <w:right w:val="single" w:sz="4" w:space="0" w:color="000000"/>
            </w:tcBorders>
            <w:vAlign w:val="bottom"/>
          </w:tcPr>
          <w:p w:rsidR="00227FEF" w:rsidRDefault="00494B9D">
            <w:pPr>
              <w:jc w:val="right"/>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0,06</w:t>
            </w:r>
          </w:p>
        </w:tc>
        <w:tc>
          <w:tcPr>
            <w:tcW w:w="1271" w:type="dxa"/>
            <w:tcBorders>
              <w:bottom w:val="single" w:sz="4" w:space="0" w:color="000000"/>
              <w:right w:val="single" w:sz="4" w:space="0" w:color="000000"/>
            </w:tcBorders>
            <w:vAlign w:val="bottom"/>
          </w:tcPr>
          <w:p w:rsidR="00227FEF" w:rsidRDefault="00494B9D">
            <w:pPr>
              <w:jc w:val="right"/>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-0,012</w:t>
            </w:r>
          </w:p>
        </w:tc>
        <w:tc>
          <w:tcPr>
            <w:tcW w:w="1269" w:type="dxa"/>
            <w:tcBorders>
              <w:bottom w:val="single" w:sz="4" w:space="0" w:color="000000"/>
              <w:right w:val="single" w:sz="4" w:space="0" w:color="000000"/>
            </w:tcBorders>
            <w:vAlign w:val="bottom"/>
          </w:tcPr>
          <w:p w:rsidR="00227FEF" w:rsidRDefault="00494B9D">
            <w:pPr>
              <w:jc w:val="right"/>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-0,02</w:t>
            </w:r>
          </w:p>
        </w:tc>
        <w:tc>
          <w:tcPr>
            <w:tcW w:w="1790" w:type="dxa"/>
            <w:tcBorders>
              <w:bottom w:val="single" w:sz="4" w:space="0" w:color="000000"/>
              <w:right w:val="single" w:sz="4" w:space="0" w:color="000000"/>
            </w:tcBorders>
            <w:vAlign w:val="bottom"/>
          </w:tcPr>
          <w:p w:rsidR="00227FEF" w:rsidRDefault="00494B9D">
            <w:pPr>
              <w:jc w:val="right"/>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-0,038</w:t>
            </w:r>
          </w:p>
        </w:tc>
      </w:tr>
    </w:tbl>
    <w:p w:rsidR="00227FEF" w:rsidRDefault="00227FEF">
      <w:pPr>
        <w:spacing w:line="276" w:lineRule="auto"/>
        <w:jc w:val="both"/>
        <w:rPr>
          <w:rFonts w:ascii="Times New Roman" w:eastAsia="Arial" w:hAnsi="Times New Roman"/>
          <w:sz w:val="28"/>
          <w:szCs w:val="28"/>
          <w:shd w:val="clear" w:color="auto" w:fill="F4CCCC"/>
          <w:lang w:val="uk-UA" w:eastAsia="ru-RU"/>
        </w:rPr>
      </w:pPr>
    </w:p>
    <w:p w:rsidR="00227FEF" w:rsidRDefault="00227FEF">
      <w:pPr>
        <w:spacing w:line="276" w:lineRule="auto"/>
        <w:ind w:firstLine="708"/>
        <w:jc w:val="both"/>
        <w:rPr>
          <w:rFonts w:ascii="Times New Roman" w:eastAsia="Arial" w:hAnsi="Times New Roman"/>
          <w:sz w:val="28"/>
          <w:szCs w:val="28"/>
          <w:shd w:val="clear" w:color="auto" w:fill="F4CCCC"/>
          <w:lang w:val="uk-UA" w:eastAsia="ru-RU"/>
        </w:rPr>
      </w:pPr>
    </w:p>
    <w:p w:rsidR="00227FEF" w:rsidRPr="005E48D4" w:rsidRDefault="00494B9D">
      <w:pPr>
        <w:spacing w:line="276" w:lineRule="auto"/>
        <w:ind w:firstLine="708"/>
        <w:jc w:val="both"/>
        <w:rPr>
          <w:lang w:val="ru-RU"/>
        </w:rPr>
      </w:pPr>
      <w:r>
        <w:rPr>
          <w:rFonts w:ascii="Times New Roman" w:eastAsia="Arial" w:hAnsi="Times New Roman"/>
          <w:b/>
          <w:sz w:val="28"/>
          <w:szCs w:val="28"/>
          <w:shd w:val="clear" w:color="auto" w:fill="FFFFFF"/>
          <w:lang w:val="uk-UA" w:eastAsia="ru-RU"/>
        </w:rPr>
        <w:t>Офіційні трансферти.</w:t>
      </w:r>
      <w:r>
        <w:rPr>
          <w:rFonts w:ascii="Times New Roman" w:eastAsia="Arial" w:hAnsi="Times New Roman"/>
          <w:sz w:val="28"/>
          <w:szCs w:val="28"/>
          <w:shd w:val="clear" w:color="auto" w:fill="FFFFFF"/>
          <w:lang w:val="uk-UA" w:eastAsia="ru-RU"/>
        </w:rPr>
        <w:t xml:space="preserve"> До місцевого бюджету Тур’є-Реметівської громади у 2025 році надійшло офіційних трансфертів 130,225 млн грн, що на 9,94 млн грн більше, ніж у попередньому році. Основну частку офіційних трансфертів в обох роках становила освітня субвенція з державного бюджету: у 2024 році – 70,5% (84,83 млн грн), у 2025 році – 66,6% (86,79 млн грн). Попри незначне зниження питомої ваги, абсолютний обсяг освітньої субвенції збільшився на 1,97 млн грн.</w:t>
      </w:r>
    </w:p>
    <w:p w:rsidR="00227FEF" w:rsidRDefault="00494B9D">
      <w:pPr>
        <w:spacing w:line="276" w:lineRule="auto"/>
        <w:ind w:firstLine="708"/>
        <w:jc w:val="both"/>
        <w:rPr>
          <w:rFonts w:ascii="Times New Roman" w:eastAsia="Arial" w:hAnsi="Times New Roman"/>
          <w:sz w:val="28"/>
          <w:szCs w:val="28"/>
          <w:shd w:val="clear" w:color="auto" w:fill="FFFFFF"/>
          <w:lang w:val="uk-UA" w:eastAsia="ru-RU"/>
        </w:rPr>
      </w:pPr>
      <w:r>
        <w:rPr>
          <w:rFonts w:ascii="Times New Roman" w:eastAsia="Arial" w:hAnsi="Times New Roman"/>
          <w:sz w:val="28"/>
          <w:szCs w:val="28"/>
          <w:shd w:val="clear" w:color="auto" w:fill="FFFFFF"/>
          <w:lang w:val="uk-UA" w:eastAsia="ru-RU"/>
        </w:rPr>
        <w:t>Другою за обсягом складовою є базова дотація, частка якої зросла з 22,1% у 2024 році (26,55 млн грн) до 24,1% у 2025 році (31,36 млн грн).</w:t>
      </w:r>
    </w:p>
    <w:p w:rsidR="00227FEF" w:rsidRDefault="00494B9D">
      <w:pPr>
        <w:spacing w:line="276" w:lineRule="auto"/>
        <w:ind w:firstLine="708"/>
        <w:jc w:val="both"/>
        <w:rPr>
          <w:rFonts w:ascii="Times New Roman" w:eastAsia="Arial" w:hAnsi="Times New Roman"/>
          <w:sz w:val="28"/>
          <w:szCs w:val="28"/>
          <w:shd w:val="clear" w:color="auto" w:fill="FFFFFF"/>
          <w:lang w:val="uk-UA" w:eastAsia="ru-RU"/>
        </w:rPr>
      </w:pPr>
      <w:r>
        <w:rPr>
          <w:rFonts w:ascii="Times New Roman" w:eastAsia="Arial" w:hAnsi="Times New Roman"/>
          <w:sz w:val="28"/>
          <w:szCs w:val="28"/>
          <w:shd w:val="clear" w:color="auto" w:fill="FFFFFF"/>
          <w:lang w:val="uk-UA" w:eastAsia="ru-RU"/>
        </w:rPr>
        <w:t>У 2024 році громада отримувала субвенції на харчування учнів початкових класів (3,95 млн грн). Натомість у 2025 році з’явились дві нові цільові освітні субвенції: на здійснення доплат педагогічним працівникам ЗЗСО (7,76 млн грн) та «Нова українська школа» (1,26 млн грн).</w:t>
      </w:r>
    </w:p>
    <w:p w:rsidR="00227FEF" w:rsidRDefault="00494B9D">
      <w:pPr>
        <w:spacing w:line="276" w:lineRule="auto"/>
        <w:ind w:firstLine="708"/>
        <w:jc w:val="both"/>
        <w:rPr>
          <w:rFonts w:ascii="Times New Roman" w:eastAsia="Arial" w:hAnsi="Times New Roman"/>
          <w:sz w:val="28"/>
          <w:szCs w:val="28"/>
          <w:shd w:val="clear" w:color="auto" w:fill="FFFFFF"/>
          <w:lang w:val="uk-UA" w:eastAsia="ru-RU"/>
        </w:rPr>
      </w:pPr>
      <w:r>
        <w:rPr>
          <w:rFonts w:ascii="Times New Roman" w:eastAsia="Arial" w:hAnsi="Times New Roman"/>
          <w:sz w:val="28"/>
          <w:szCs w:val="28"/>
          <w:shd w:val="clear" w:color="auto" w:fill="FFFFFF"/>
          <w:lang w:val="uk-UA" w:eastAsia="ru-RU"/>
        </w:rPr>
        <w:t xml:space="preserve">Субвенції з місцевих бюджетів іншим місцевим бюджетам скоротились майже вдвічі — з 3,67 млн грн у 2024 році до 1,53 млн грн у 2025 році. Дотації з місцевих бюджетів іншим місцевим бюджетам залишились практично незмінними (1,29 та 1,36 млн грн відповідно). </w:t>
      </w:r>
    </w:p>
    <w:p w:rsidR="00227FEF" w:rsidRDefault="00227FEF">
      <w:pPr>
        <w:spacing w:line="276" w:lineRule="auto"/>
        <w:ind w:firstLine="708"/>
        <w:jc w:val="both"/>
        <w:rPr>
          <w:rFonts w:ascii="Times New Roman" w:eastAsia="Arial" w:hAnsi="Times New Roman"/>
          <w:sz w:val="28"/>
          <w:szCs w:val="28"/>
          <w:shd w:val="clear" w:color="auto" w:fill="FFFFFF"/>
          <w:lang w:val="uk-UA" w:eastAsia="ru-RU"/>
        </w:rPr>
      </w:pPr>
    </w:p>
    <w:p w:rsidR="00227FEF" w:rsidRDefault="00494B9D">
      <w:pPr>
        <w:spacing w:line="276" w:lineRule="auto"/>
        <w:jc w:val="center"/>
        <w:rPr>
          <w:rFonts w:ascii="Times New Roman" w:eastAsia="Arial" w:hAnsi="Times New Roman"/>
          <w:b/>
          <w:sz w:val="28"/>
          <w:szCs w:val="28"/>
          <w:shd w:val="clear" w:color="auto" w:fill="FFFFFF"/>
          <w:lang w:val="uk-UA" w:eastAsia="ru-RU"/>
        </w:rPr>
      </w:pPr>
      <w:r>
        <w:rPr>
          <w:rFonts w:ascii="Times New Roman" w:eastAsia="Arial" w:hAnsi="Times New Roman"/>
          <w:b/>
          <w:sz w:val="28"/>
          <w:szCs w:val="28"/>
          <w:shd w:val="clear" w:color="auto" w:fill="FFFFFF"/>
          <w:lang w:val="uk-UA" w:eastAsia="ru-RU"/>
        </w:rPr>
        <w:t>9.2. Видатки</w:t>
      </w:r>
    </w:p>
    <w:p w:rsidR="00227FEF" w:rsidRDefault="00494B9D">
      <w:pPr>
        <w:spacing w:line="276" w:lineRule="auto"/>
        <w:ind w:firstLine="708"/>
        <w:jc w:val="both"/>
        <w:rPr>
          <w:rFonts w:ascii="Times New Roman" w:eastAsia="Arial" w:hAnsi="Times New Roman"/>
          <w:sz w:val="28"/>
          <w:szCs w:val="28"/>
          <w:shd w:val="clear" w:color="auto" w:fill="F4CCCC"/>
          <w:lang w:val="uk-UA" w:eastAsia="ru-RU"/>
        </w:rPr>
      </w:pPr>
      <w:r>
        <w:rPr>
          <w:rFonts w:ascii="Times New Roman" w:eastAsia="Arial" w:hAnsi="Times New Roman"/>
          <w:sz w:val="28"/>
          <w:szCs w:val="28"/>
          <w:lang w:val="uk-UA" w:eastAsia="ru-RU"/>
        </w:rPr>
        <w:t>У 2024 році видатки місцевого бюджету Тур'є-Реметівської громади становили 173,9 млн грн, а у 2025 році зросли на 38,3 млн грн (на 22,0%) і склали 212,3 млн грн.</w:t>
      </w:r>
    </w:p>
    <w:p w:rsidR="00227FEF" w:rsidRDefault="00494B9D">
      <w:pPr>
        <w:spacing w:line="276" w:lineRule="auto"/>
        <w:ind w:firstLine="708"/>
        <w:jc w:val="both"/>
        <w:rPr>
          <w:rFonts w:ascii="Times New Roman" w:eastAsia="Arial" w:hAnsi="Times New Roman"/>
          <w:sz w:val="28"/>
          <w:szCs w:val="28"/>
          <w:lang w:val="uk-UA" w:eastAsia="ru-RU"/>
        </w:rPr>
      </w:pPr>
      <w:r>
        <w:rPr>
          <w:rFonts w:ascii="Times New Roman" w:eastAsia="Arial" w:hAnsi="Times New Roman"/>
          <w:sz w:val="28"/>
          <w:szCs w:val="28"/>
          <w:lang w:val="uk-UA" w:eastAsia="ru-RU"/>
        </w:rPr>
        <w:t>Найбільша частка в структурі видатків бюджету громади в обох роках припадала на фінансування освіти: 76,5% усіх видатків у 2024 році та 74,0% — у 2025 році. В абсолютному вираженні видатки на освіту зросли на 24,0 млн грн (рис. 1.9.4).</w:t>
      </w:r>
    </w:p>
    <w:p w:rsidR="00227FEF" w:rsidRDefault="00494B9D">
      <w:pPr>
        <w:spacing w:line="276" w:lineRule="auto"/>
        <w:jc w:val="both"/>
        <w:rPr>
          <w:rFonts w:ascii="Times New Roman" w:eastAsia="Arial" w:hAnsi="Times New Roman"/>
          <w:sz w:val="28"/>
          <w:szCs w:val="28"/>
          <w:lang w:val="uk-UA" w:eastAsia="ru-RU"/>
        </w:rPr>
      </w:pPr>
      <w:r>
        <w:rPr>
          <w:rFonts w:ascii="Times New Roman" w:eastAsia="Arial" w:hAnsi="Times New Roman"/>
          <w:noProof/>
          <w:sz w:val="28"/>
          <w:szCs w:val="28"/>
          <w:lang w:val="uk-UA" w:eastAsia="uk-UA"/>
        </w:rPr>
        <w:lastRenderedPageBreak/>
        <w:drawing>
          <wp:inline distT="0" distB="0" distL="0" distR="0">
            <wp:extent cx="6279515" cy="4334510"/>
            <wp:effectExtent l="0" t="0" r="0" b="0"/>
            <wp:docPr id="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7"/>
                    <pic:cNvPicPr>
                      <a:picLocks noChangeAspect="1" noChangeArrowheads="1"/>
                    </pic:cNvPicPr>
                  </pic:nvPicPr>
                  <pic:blipFill>
                    <a:blip r:embed="rId12"/>
                    <a:srcRect l="-6" t="-8" r="-6" b="-8"/>
                    <a:stretch>
                      <a:fillRect/>
                    </a:stretch>
                  </pic:blipFill>
                  <pic:spPr bwMode="auto">
                    <a:xfrm>
                      <a:off x="0" y="0"/>
                      <a:ext cx="6279515" cy="4334510"/>
                    </a:xfrm>
                    <a:prstGeom prst="rect">
                      <a:avLst/>
                    </a:prstGeom>
                  </pic:spPr>
                </pic:pic>
              </a:graphicData>
            </a:graphic>
          </wp:inline>
        </w:drawing>
      </w:r>
    </w:p>
    <w:p w:rsidR="00227FEF" w:rsidRDefault="00227FEF">
      <w:pPr>
        <w:spacing w:line="276" w:lineRule="auto"/>
        <w:ind w:firstLine="708"/>
        <w:jc w:val="both"/>
        <w:rPr>
          <w:rFonts w:ascii="Times New Roman" w:eastAsia="Arial" w:hAnsi="Times New Roman"/>
          <w:sz w:val="28"/>
          <w:szCs w:val="28"/>
          <w:lang w:val="uk-UA" w:eastAsia="ru-RU"/>
        </w:rPr>
      </w:pPr>
    </w:p>
    <w:p w:rsidR="00227FEF" w:rsidRDefault="00494B9D">
      <w:pPr>
        <w:spacing w:line="276" w:lineRule="auto"/>
        <w:jc w:val="center"/>
        <w:rPr>
          <w:rFonts w:ascii="Times New Roman" w:eastAsia="Arial" w:hAnsi="Times New Roman"/>
          <w:b/>
          <w:sz w:val="28"/>
          <w:szCs w:val="28"/>
          <w:lang w:val="uk-UA" w:eastAsia="ru-RU"/>
        </w:rPr>
      </w:pPr>
      <w:r>
        <w:rPr>
          <w:rFonts w:ascii="Times New Roman" w:eastAsia="Arial" w:hAnsi="Times New Roman"/>
          <w:b/>
          <w:sz w:val="28"/>
          <w:szCs w:val="28"/>
          <w:lang w:val="uk-UA" w:eastAsia="ru-RU"/>
        </w:rPr>
        <w:t>Рис. 1.9.4 Динаміка видатків бюджету Тур'є-Реметівської сільської територіальної громади, 2024-2025 роки, млн грн</w:t>
      </w:r>
      <w:r>
        <w:rPr>
          <w:rStyle w:val="a6"/>
          <w:rFonts w:ascii="Times New Roman" w:eastAsia="Arial" w:hAnsi="Times New Roman"/>
          <w:b/>
          <w:sz w:val="28"/>
          <w:szCs w:val="28"/>
          <w:lang w:val="uk-UA" w:eastAsia="ru-RU"/>
        </w:rPr>
        <w:footnoteReference w:id="6"/>
      </w:r>
    </w:p>
    <w:p w:rsidR="00227FEF" w:rsidRDefault="00227FEF">
      <w:pPr>
        <w:spacing w:line="276" w:lineRule="auto"/>
        <w:ind w:firstLine="708"/>
        <w:jc w:val="both"/>
        <w:rPr>
          <w:rFonts w:ascii="Times New Roman" w:eastAsia="Arial" w:hAnsi="Times New Roman"/>
          <w:b/>
          <w:sz w:val="28"/>
          <w:szCs w:val="28"/>
          <w:lang w:val="uk-UA" w:eastAsia="ru-RU"/>
        </w:rPr>
      </w:pPr>
    </w:p>
    <w:p w:rsidR="00227FEF" w:rsidRDefault="00494B9D">
      <w:pPr>
        <w:spacing w:line="276" w:lineRule="auto"/>
        <w:ind w:firstLine="708"/>
        <w:jc w:val="both"/>
        <w:rPr>
          <w:rFonts w:ascii="Times New Roman" w:eastAsia="Arial" w:hAnsi="Times New Roman"/>
          <w:sz w:val="28"/>
          <w:szCs w:val="28"/>
          <w:lang w:val="uk-UA" w:eastAsia="ru-RU"/>
        </w:rPr>
      </w:pPr>
      <w:r>
        <w:rPr>
          <w:rFonts w:ascii="Times New Roman" w:eastAsia="Arial" w:hAnsi="Times New Roman"/>
          <w:sz w:val="28"/>
          <w:szCs w:val="28"/>
          <w:lang w:val="uk-UA" w:eastAsia="ru-RU"/>
        </w:rPr>
        <w:t>Видатки на загальнодержавні функції збільшились з 22,1 млн грн у 2024 році до 30,6 млн грн у 2025 році (зростання на 8,6 млн грн, або на 38,7%). Суттєво зросли також видатки на економічну діяльність — більш ніж удвічі (з 3,0 до 7,4 млн грн). Видатки на охорону здоров'я збільшились з 1,8 до 2,3 млн грн, на духовний та фізичний розвиток — з 4,9 до 5,2 млн грн, на житлово-комунальне господарство — з 1,2 до 1,5 млн грн.</w:t>
      </w:r>
    </w:p>
    <w:p w:rsidR="00227FEF" w:rsidRDefault="00494B9D">
      <w:pPr>
        <w:spacing w:line="276" w:lineRule="auto"/>
        <w:ind w:firstLine="708"/>
        <w:jc w:val="both"/>
        <w:rPr>
          <w:rFonts w:ascii="Times New Roman" w:eastAsia="Arial" w:hAnsi="Times New Roman"/>
          <w:sz w:val="28"/>
          <w:szCs w:val="28"/>
          <w:lang w:val="uk-UA" w:eastAsia="ru-RU"/>
        </w:rPr>
      </w:pPr>
      <w:r>
        <w:rPr>
          <w:rFonts w:ascii="Times New Roman" w:eastAsia="Arial" w:hAnsi="Times New Roman"/>
          <w:sz w:val="28"/>
          <w:szCs w:val="28"/>
          <w:lang w:val="uk-UA" w:eastAsia="ru-RU"/>
        </w:rPr>
        <w:t>Видатки на соціальний захист та соціальне забезпечення у 2025 році залишились практично на рівні 2024 року — 7,9 млн грн.</w:t>
      </w:r>
    </w:p>
    <w:p w:rsidR="00227FEF" w:rsidRPr="005E48D4" w:rsidRDefault="00494B9D">
      <w:pPr>
        <w:spacing w:line="276" w:lineRule="auto"/>
        <w:ind w:firstLine="708"/>
        <w:jc w:val="both"/>
        <w:rPr>
          <w:lang w:val="ru-RU"/>
        </w:rPr>
      </w:pPr>
      <w:r>
        <w:rPr>
          <w:rFonts w:ascii="Times New Roman" w:eastAsia="Arial" w:hAnsi="Times New Roman"/>
          <w:sz w:val="28"/>
          <w:szCs w:val="28"/>
          <w:lang w:val="uk-UA" w:eastAsia="ru-RU"/>
        </w:rPr>
        <w:t xml:space="preserve">У складі видатків на освіту у 2025 році 74% становили видатки на загальну середню освіту, </w:t>
      </w:r>
      <w:r>
        <w:rPr>
          <w:rFonts w:ascii="Times New Roman" w:eastAsia="Arial" w:hAnsi="Times New Roman"/>
          <w:bCs/>
          <w:sz w:val="28"/>
          <w:szCs w:val="28"/>
          <w:lang w:val="uk-UA" w:eastAsia="ru-RU"/>
        </w:rPr>
        <w:t>10%</w:t>
      </w:r>
      <w:r>
        <w:rPr>
          <w:rFonts w:ascii="Times New Roman" w:eastAsia="Arial" w:hAnsi="Times New Roman"/>
          <w:sz w:val="28"/>
          <w:szCs w:val="28"/>
          <w:lang w:val="uk-UA" w:eastAsia="ru-RU"/>
        </w:rPr>
        <w:t xml:space="preserve"> - на дошкільну освіту, 2% – на позашкільну освіту і 14% – на інші заклади і заходи у сфері освіти (рис. 1.9.5).</w:t>
      </w:r>
    </w:p>
    <w:p w:rsidR="00227FEF" w:rsidRDefault="00494B9D">
      <w:pPr>
        <w:spacing w:line="276" w:lineRule="auto"/>
        <w:jc w:val="both"/>
        <w:rPr>
          <w:rFonts w:ascii="Times New Roman" w:eastAsia="Arial" w:hAnsi="Times New Roman"/>
          <w:sz w:val="28"/>
          <w:szCs w:val="28"/>
          <w:lang w:val="uk-UA" w:eastAsia="ru-RU"/>
        </w:rPr>
      </w:pPr>
      <w:r>
        <w:rPr>
          <w:rFonts w:ascii="Times New Roman" w:eastAsia="Arial" w:hAnsi="Times New Roman"/>
          <w:noProof/>
          <w:sz w:val="28"/>
          <w:szCs w:val="28"/>
          <w:lang w:val="uk-UA" w:eastAsia="uk-UA"/>
        </w:rPr>
        <w:lastRenderedPageBreak/>
        <w:drawing>
          <wp:inline distT="0" distB="0" distL="0" distR="0">
            <wp:extent cx="6382385" cy="4145280"/>
            <wp:effectExtent l="0" t="0" r="0" b="0"/>
            <wp:docPr id="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9"/>
                    <pic:cNvPicPr>
                      <a:picLocks noChangeAspect="1" noChangeArrowheads="1"/>
                    </pic:cNvPicPr>
                  </pic:nvPicPr>
                  <pic:blipFill>
                    <a:blip r:embed="rId13"/>
                    <a:srcRect l="-5" t="-8" r="-5" b="-8"/>
                    <a:stretch>
                      <a:fillRect/>
                    </a:stretch>
                  </pic:blipFill>
                  <pic:spPr bwMode="auto">
                    <a:xfrm>
                      <a:off x="0" y="0"/>
                      <a:ext cx="6382385" cy="4145280"/>
                    </a:xfrm>
                    <a:prstGeom prst="rect">
                      <a:avLst/>
                    </a:prstGeom>
                  </pic:spPr>
                </pic:pic>
              </a:graphicData>
            </a:graphic>
          </wp:inline>
        </w:drawing>
      </w:r>
    </w:p>
    <w:p w:rsidR="00227FEF" w:rsidRDefault="00494B9D">
      <w:pPr>
        <w:spacing w:line="276" w:lineRule="auto"/>
        <w:jc w:val="center"/>
        <w:rPr>
          <w:rFonts w:ascii="Times New Roman" w:eastAsia="Arial" w:hAnsi="Times New Roman"/>
          <w:b/>
          <w:sz w:val="28"/>
          <w:szCs w:val="28"/>
          <w:lang w:val="uk-UA" w:eastAsia="ru-RU"/>
        </w:rPr>
      </w:pPr>
      <w:r>
        <w:rPr>
          <w:rFonts w:ascii="Times New Roman" w:eastAsia="Arial" w:hAnsi="Times New Roman"/>
          <w:b/>
          <w:sz w:val="28"/>
          <w:szCs w:val="28"/>
          <w:lang w:val="uk-UA" w:eastAsia="ru-RU"/>
        </w:rPr>
        <w:t>Рис. 1.9.5 Структура видатків місцевого бюджету Тур'є-Реметівської СТГ у 2025 році</w:t>
      </w:r>
      <w:r>
        <w:rPr>
          <w:rStyle w:val="a6"/>
          <w:rFonts w:ascii="Times New Roman" w:eastAsia="Arial" w:hAnsi="Times New Roman"/>
          <w:b/>
          <w:sz w:val="28"/>
          <w:szCs w:val="28"/>
          <w:lang w:val="uk-UA" w:eastAsia="ru-RU"/>
        </w:rPr>
        <w:footnoteReference w:id="7"/>
      </w:r>
    </w:p>
    <w:p w:rsidR="00227FEF" w:rsidRDefault="00227FEF">
      <w:pPr>
        <w:spacing w:line="276" w:lineRule="auto"/>
        <w:ind w:firstLine="708"/>
        <w:jc w:val="both"/>
        <w:rPr>
          <w:rFonts w:ascii="Times New Roman" w:eastAsia="Arial" w:hAnsi="Times New Roman"/>
          <w:b/>
          <w:sz w:val="28"/>
          <w:szCs w:val="28"/>
          <w:lang w:val="uk-UA" w:eastAsia="ru-RU"/>
        </w:rPr>
      </w:pPr>
    </w:p>
    <w:p w:rsidR="00227FEF" w:rsidRDefault="00494B9D">
      <w:pPr>
        <w:spacing w:line="276" w:lineRule="auto"/>
        <w:jc w:val="center"/>
        <w:rPr>
          <w:rFonts w:ascii="Times New Roman" w:eastAsia="Arial" w:hAnsi="Times New Roman"/>
          <w:b/>
          <w:sz w:val="28"/>
          <w:szCs w:val="28"/>
          <w:lang w:val="uk-UA" w:eastAsia="ru-RU"/>
        </w:rPr>
      </w:pPr>
      <w:r>
        <w:rPr>
          <w:rFonts w:ascii="Times New Roman" w:eastAsia="Arial" w:hAnsi="Times New Roman"/>
          <w:b/>
          <w:sz w:val="28"/>
          <w:szCs w:val="28"/>
          <w:lang w:val="uk-UA" w:eastAsia="ru-RU"/>
        </w:rPr>
        <w:t>Висновки</w:t>
      </w:r>
    </w:p>
    <w:p w:rsidR="00227FEF" w:rsidRDefault="00494B9D">
      <w:pPr>
        <w:spacing w:line="276" w:lineRule="auto"/>
        <w:ind w:firstLine="708"/>
        <w:jc w:val="both"/>
        <w:rPr>
          <w:rFonts w:ascii="Times New Roman" w:eastAsia="Arial" w:hAnsi="Times New Roman"/>
          <w:sz w:val="28"/>
          <w:szCs w:val="28"/>
          <w:lang w:val="uk-UA" w:eastAsia="ru-RU"/>
        </w:rPr>
      </w:pPr>
      <w:r>
        <w:rPr>
          <w:rFonts w:ascii="Times New Roman" w:eastAsia="Arial" w:hAnsi="Times New Roman"/>
          <w:sz w:val="28"/>
          <w:szCs w:val="28"/>
          <w:lang w:val="uk-UA" w:eastAsia="ru-RU"/>
        </w:rPr>
        <w:t xml:space="preserve">1. У 2024–2025 рр. бюджет Тур'є-Реметівської територіальної громади був профіцитний на 2,68 млн грн та 5,07 млн грн відповідно. </w:t>
      </w:r>
      <w:r>
        <w:rPr>
          <w:rFonts w:ascii="Times New Roman" w:eastAsia="Arial" w:hAnsi="Times New Roman"/>
          <w:sz w:val="28"/>
          <w:szCs w:val="28"/>
          <w:lang w:val="ru-RU" w:eastAsia="ru-RU"/>
        </w:rPr>
        <w:t xml:space="preserve">Загалом податкові надходження склали 32,33% усіх доходів бюджету громади у 2025 році. Питома вага офіційних трансфертів у 2025 році зменшилась до 59,91% усіх доходів бюджету громади (у 2024 році вона становила 68,09%). Така зміна структури доходів була зумовлена значним збільшенням податкових надходжень </w:t>
      </w:r>
      <w:r>
        <w:rPr>
          <w:rFonts w:ascii="Times New Roman" w:eastAsia="Arial" w:hAnsi="Times New Roman"/>
          <w:sz w:val="28"/>
          <w:szCs w:val="28"/>
          <w:lang w:val="uk-UA" w:eastAsia="ru-RU"/>
        </w:rPr>
        <w:t xml:space="preserve">– </w:t>
      </w:r>
      <w:r>
        <w:rPr>
          <w:rFonts w:ascii="Times New Roman" w:eastAsia="Arial" w:hAnsi="Times New Roman"/>
          <w:sz w:val="28"/>
          <w:szCs w:val="28"/>
          <w:lang w:val="ru-RU" w:eastAsia="ru-RU"/>
        </w:rPr>
        <w:t xml:space="preserve">на 54,56% </w:t>
      </w:r>
      <w:r>
        <w:rPr>
          <w:rFonts w:ascii="Times New Roman" w:eastAsia="Arial" w:hAnsi="Times New Roman"/>
          <w:sz w:val="28"/>
          <w:szCs w:val="28"/>
          <w:lang w:val="uk-UA" w:eastAsia="ru-RU"/>
        </w:rPr>
        <w:t xml:space="preserve">– </w:t>
      </w:r>
      <w:r>
        <w:rPr>
          <w:rFonts w:ascii="Times New Roman" w:eastAsia="Arial" w:hAnsi="Times New Roman"/>
          <w:sz w:val="28"/>
          <w:szCs w:val="28"/>
          <w:lang w:val="ru-RU" w:eastAsia="ru-RU"/>
        </w:rPr>
        <w:t>та суттєвим зростанням доходів від операцій з капіталом.</w:t>
      </w:r>
    </w:p>
    <w:p w:rsidR="00227FEF" w:rsidRDefault="00494B9D">
      <w:pPr>
        <w:spacing w:line="276" w:lineRule="auto"/>
        <w:ind w:firstLine="708"/>
        <w:jc w:val="both"/>
        <w:rPr>
          <w:rFonts w:ascii="Times New Roman" w:eastAsia="Arial" w:hAnsi="Times New Roman"/>
          <w:sz w:val="28"/>
          <w:szCs w:val="28"/>
          <w:lang w:val="uk-UA" w:eastAsia="ru-RU"/>
        </w:rPr>
      </w:pPr>
      <w:r>
        <w:rPr>
          <w:rFonts w:ascii="Times New Roman" w:eastAsia="Arial" w:hAnsi="Times New Roman"/>
          <w:sz w:val="28"/>
          <w:szCs w:val="28"/>
          <w:lang w:val="uk-UA" w:eastAsia="ru-RU"/>
        </w:rPr>
        <w:t>2. У 2025 році відбулося зростання податкових надходжень до місцевого бюджету на 24,811 млн грн, за рахунок збільшення доходів від сплати ПДФО (+18,901 млн грн), місцевих податків та акцизного податку. Дві третіх усіх податкових надходжень місцевого бюджету забезпечив податок з доходів фізичних осіб.</w:t>
      </w:r>
    </w:p>
    <w:p w:rsidR="00227FEF" w:rsidRDefault="00494B9D">
      <w:pPr>
        <w:spacing w:line="276" w:lineRule="auto"/>
        <w:ind w:firstLine="708"/>
        <w:jc w:val="both"/>
        <w:rPr>
          <w:rFonts w:ascii="Times New Roman" w:eastAsia="Arial" w:hAnsi="Times New Roman"/>
          <w:sz w:val="28"/>
          <w:szCs w:val="28"/>
          <w:lang w:val="uk-UA" w:eastAsia="ru-RU"/>
        </w:rPr>
      </w:pPr>
      <w:r>
        <w:rPr>
          <w:rFonts w:ascii="Times New Roman" w:eastAsia="Arial" w:hAnsi="Times New Roman"/>
          <w:sz w:val="28"/>
          <w:szCs w:val="28"/>
          <w:lang w:val="uk-UA" w:eastAsia="ru-RU"/>
        </w:rPr>
        <w:t xml:space="preserve">3. </w:t>
      </w:r>
      <w:r>
        <w:rPr>
          <w:rFonts w:ascii="Times New Roman" w:eastAsia="Arial" w:hAnsi="Times New Roman"/>
          <w:sz w:val="28"/>
          <w:szCs w:val="28"/>
          <w:lang w:val="ru-RU" w:eastAsia="ru-RU"/>
        </w:rPr>
        <w:t xml:space="preserve">У 2025 році видатки місцевого бюджету Тур'є-Реметівської громади зросли на 22,0% і становили 212,3 млн грн. В структурі видатків місцевого бюджету громади </w:t>
      </w:r>
      <w:r>
        <w:rPr>
          <w:rFonts w:ascii="Times New Roman" w:eastAsia="Arial" w:hAnsi="Times New Roman"/>
          <w:sz w:val="28"/>
          <w:szCs w:val="28"/>
          <w:lang w:val="ru-RU" w:eastAsia="ru-RU"/>
        </w:rPr>
        <w:lastRenderedPageBreak/>
        <w:t>переважають видатки на освіту, частка яких склала 74,0% усіх видатків. У 2025 році суттєво зросли видатки на економічну діяльність (більш ніж удвічі) та загальнодержавні функції (на 38,7%). Видатки на соціальний захист та соціальне забезпечення залишились на рівні попереднього року.</w:t>
      </w:r>
    </w:p>
    <w:p w:rsidR="00227FEF" w:rsidRPr="005E48D4" w:rsidRDefault="00494B9D">
      <w:pPr>
        <w:spacing w:line="276" w:lineRule="auto"/>
        <w:ind w:firstLine="708"/>
        <w:jc w:val="both"/>
        <w:rPr>
          <w:lang w:val="uk-UA"/>
        </w:rPr>
      </w:pPr>
      <w:r>
        <w:rPr>
          <w:rFonts w:ascii="Times New Roman" w:eastAsia="Arial" w:hAnsi="Times New Roman"/>
          <w:sz w:val="28"/>
          <w:szCs w:val="28"/>
          <w:lang w:val="uk-UA" w:eastAsia="ru-RU"/>
        </w:rPr>
        <w:t>4. За підсумками 9 місяців 2025 року</w:t>
      </w:r>
      <w:r>
        <w:rPr>
          <w:rStyle w:val="a6"/>
          <w:rFonts w:ascii="Times New Roman" w:eastAsia="Arial" w:hAnsi="Times New Roman"/>
          <w:sz w:val="28"/>
          <w:szCs w:val="28"/>
          <w:lang w:val="uk-UA" w:eastAsia="ru-RU"/>
        </w:rPr>
        <w:footnoteReference w:id="8"/>
      </w:r>
      <w:r>
        <w:rPr>
          <w:rFonts w:ascii="Times New Roman" w:eastAsia="Arial" w:hAnsi="Times New Roman"/>
          <w:sz w:val="28"/>
          <w:szCs w:val="28"/>
          <w:lang w:val="uk-UA" w:eastAsia="ru-RU"/>
        </w:rPr>
        <w:t xml:space="preserve"> Тур'є-Реметівська СТГ віднесена до громад із </w:t>
      </w:r>
      <w:r>
        <w:rPr>
          <w:rFonts w:ascii="Times New Roman" w:eastAsia="Arial" w:hAnsi="Times New Roman"/>
          <w:bCs/>
          <w:sz w:val="28"/>
          <w:szCs w:val="28"/>
          <w:lang w:val="uk-UA" w:eastAsia="ru-RU"/>
        </w:rPr>
        <w:t>низьким рівнем фінансової спроможності</w:t>
      </w:r>
      <w:r>
        <w:rPr>
          <w:rFonts w:ascii="Times New Roman" w:eastAsia="Arial" w:hAnsi="Times New Roman"/>
          <w:sz w:val="28"/>
          <w:szCs w:val="28"/>
          <w:lang w:val="uk-UA" w:eastAsia="ru-RU"/>
        </w:rPr>
        <w:t xml:space="preserve"> у рейтингу територіальних громад Закарпатської області (Міністерство фінансів України). Це підтверджується і структурою річного бюджету громади: значна частина доходів формується за рахунок офіційних трансфертів, а частка власних податкових надходжень залишається відносно невисокою. Зазначена ситуація свідчить про необхідність подальшого нарощування власної доходної бази громади — насамперед через розвиток підприємницької активності, залучення інвестицій та участь у грантових програмах міжнародної технічної допомоги.</w:t>
      </w:r>
    </w:p>
    <w:p w:rsidR="00227FEF" w:rsidRDefault="00494B9D">
      <w:pPr>
        <w:spacing w:after="160" w:line="256" w:lineRule="auto"/>
        <w:jc w:val="both"/>
        <w:rPr>
          <w:rFonts w:ascii="Times New Roman" w:eastAsia="Calibri" w:hAnsi="Times New Roman"/>
          <w:b/>
          <w:sz w:val="28"/>
          <w:szCs w:val="22"/>
          <w:lang w:val="uk-UA" w:eastAsia="en-US"/>
        </w:rPr>
      </w:pPr>
      <w:r>
        <w:rPr>
          <w:rFonts w:ascii="Times New Roman" w:eastAsia="Calibri" w:hAnsi="Times New Roman"/>
          <w:b/>
          <w:sz w:val="28"/>
          <w:szCs w:val="22"/>
          <w:lang w:val="uk-UA" w:eastAsia="en-US"/>
        </w:rPr>
        <w:t>3.</w:t>
      </w:r>
      <w:r w:rsidR="001B0CBC">
        <w:rPr>
          <w:rFonts w:ascii="Times New Roman" w:eastAsia="Calibri" w:hAnsi="Times New Roman"/>
          <w:b/>
          <w:sz w:val="28"/>
          <w:szCs w:val="22"/>
          <w:lang w:val="uk-UA" w:eastAsia="en-US"/>
        </w:rPr>
        <w:t>1. SWOT-аналіз Тур’є-</w:t>
      </w:r>
      <w:r>
        <w:rPr>
          <w:rFonts w:ascii="Times New Roman" w:eastAsia="Calibri" w:hAnsi="Times New Roman"/>
          <w:b/>
          <w:sz w:val="28"/>
          <w:szCs w:val="22"/>
          <w:lang w:val="uk-UA" w:eastAsia="en-US"/>
        </w:rPr>
        <w:t>Реметівської ОТГ</w:t>
      </w:r>
    </w:p>
    <w:p w:rsidR="00227FEF" w:rsidRPr="005E48D4" w:rsidRDefault="001B0CBC" w:rsidP="001A0378">
      <w:pPr>
        <w:spacing w:line="276" w:lineRule="auto"/>
        <w:ind w:firstLine="708"/>
        <w:jc w:val="both"/>
        <w:rPr>
          <w:lang w:val="uk-UA"/>
        </w:rPr>
      </w:pPr>
      <w:r>
        <w:rPr>
          <w:rFonts w:ascii="Times New Roman" w:eastAsia="Calibri" w:hAnsi="Times New Roman"/>
          <w:sz w:val="28"/>
          <w:szCs w:val="22"/>
          <w:lang w:val="uk-UA" w:eastAsia="en-US"/>
        </w:rPr>
        <w:t>Тур’є-</w:t>
      </w:r>
      <w:r w:rsidR="00494B9D">
        <w:rPr>
          <w:rFonts w:ascii="Times New Roman" w:eastAsia="Calibri" w:hAnsi="Times New Roman"/>
          <w:sz w:val="28"/>
          <w:szCs w:val="22"/>
          <w:lang w:val="uk-UA" w:eastAsia="en-US"/>
        </w:rPr>
        <w:t>Реметівська територіальна</w:t>
      </w:r>
      <w:r w:rsidR="00494B9D">
        <w:rPr>
          <w:rFonts w:ascii="Times New Roman" w:eastAsia="Calibri" w:hAnsi="Times New Roman"/>
          <w:b/>
          <w:sz w:val="28"/>
          <w:szCs w:val="22"/>
          <w:lang w:val="uk-UA" w:eastAsia="en-US"/>
        </w:rPr>
        <w:t xml:space="preserve"> </w:t>
      </w:r>
      <w:r w:rsidR="00494B9D">
        <w:rPr>
          <w:rFonts w:ascii="Times New Roman" w:eastAsia="Calibri" w:hAnsi="Times New Roman"/>
          <w:sz w:val="28"/>
          <w:szCs w:val="22"/>
          <w:lang w:val="uk-UA" w:eastAsia="en-US"/>
        </w:rPr>
        <w:t xml:space="preserve">громада розташована в межах унікальних ландшафтів передгір’я та високогір’я Українських Карпат, а її природно-ресурсний потенціал є визначальним фактором подальшого розвитку, оскільки територія відзначається значними лісовими масивами, запасами чистих поверхневих вод річки Тур’я та наявністю мінеральних джерел. Особливого значення сьогодні набуває кліматичний та енергетичний потенціал </w:t>
      </w:r>
      <w:r w:rsidR="00494B9D">
        <w:rPr>
          <w:rFonts w:ascii="Symbol" w:eastAsia="Symbol" w:hAnsi="Symbol" w:cs="Symbol"/>
          <w:sz w:val="28"/>
          <w:szCs w:val="22"/>
          <w:lang w:val="uk-UA" w:eastAsia="en-US"/>
        </w:rPr>
        <w:sym w:font="Symbol" w:char="F02D"/>
      </w:r>
      <w:r w:rsidR="00494B9D">
        <w:rPr>
          <w:rFonts w:ascii="Times New Roman" w:eastAsia="Calibri" w:hAnsi="Times New Roman"/>
          <w:sz w:val="28"/>
          <w:szCs w:val="22"/>
          <w:lang w:val="uk-UA" w:eastAsia="en-US"/>
        </w:rPr>
        <w:t xml:space="preserve"> стабільні вітрові потоки на полонинах, що робить громаду одним із перспективних центрів відновлювальної енергетики Закарпаття через реалізацію проєктів будівництва вітрових електростанцій (ВЕС). </w:t>
      </w:r>
    </w:p>
    <w:p w:rsidR="00227FEF" w:rsidRDefault="00494B9D" w:rsidP="001A0378">
      <w:pPr>
        <w:spacing w:line="276" w:lineRule="auto"/>
        <w:jc w:val="both"/>
        <w:rPr>
          <w:rFonts w:ascii="Times New Roman" w:eastAsia="Calibri" w:hAnsi="Times New Roman"/>
          <w:sz w:val="28"/>
          <w:szCs w:val="22"/>
          <w:lang w:val="uk-UA" w:eastAsia="en-US"/>
        </w:rPr>
      </w:pPr>
      <w:r>
        <w:rPr>
          <w:rFonts w:ascii="Times New Roman" w:eastAsia="Calibri" w:hAnsi="Times New Roman"/>
          <w:sz w:val="28"/>
          <w:szCs w:val="22"/>
          <w:lang w:val="uk-UA" w:eastAsia="en-US"/>
        </w:rPr>
        <w:t xml:space="preserve">SWOT-аналіз Тур’є-Реметівської територіальної громади є ключовим етапом стратегічного планування, що дозволяє систематизувати внутрішні чинники (сильні та слабкі сторони) та зовнішні детермінанти (можливості та загрози) її розвитку. Метою даного аналізу є ідентифікація конкурентних переваг громади, зокрема її унікального природно-ресурсного потенціалу, а також виявлення критичних бар’єрів, що стримують економічне зростання. </w:t>
      </w:r>
    </w:p>
    <w:p w:rsidR="00227FEF" w:rsidRDefault="00494B9D" w:rsidP="001A0378">
      <w:pPr>
        <w:spacing w:line="276" w:lineRule="auto"/>
        <w:jc w:val="both"/>
        <w:rPr>
          <w:rFonts w:ascii="Times New Roman" w:eastAsia="Calibri" w:hAnsi="Times New Roman"/>
          <w:sz w:val="28"/>
          <w:szCs w:val="22"/>
          <w:lang w:val="uk-UA" w:eastAsia="en-US"/>
        </w:rPr>
      </w:pPr>
      <w:r>
        <w:rPr>
          <w:rFonts w:ascii="Times New Roman" w:eastAsia="Calibri" w:hAnsi="Times New Roman"/>
          <w:sz w:val="28"/>
          <w:szCs w:val="22"/>
          <w:lang w:val="uk-UA" w:eastAsia="en-US"/>
        </w:rPr>
        <w:t xml:space="preserve">Проведений SWOT-аналіз фокусується на пошуку моделі сталого розвитку, яка дозволить ефективно конвертувати інвестиції у соціальний добробут, не нівелюючи при цьому рекреаційну цінність та екологічну цілісність регіону. Особлива увага приділена балансу між збереженням рекреаційної привабливості регіону та реалізацією масштабних інвестиційних проєктів. Такий підхід дозволяє об’єктивно </w:t>
      </w:r>
      <w:r>
        <w:rPr>
          <w:rFonts w:ascii="Times New Roman" w:eastAsia="Calibri" w:hAnsi="Times New Roman"/>
          <w:sz w:val="28"/>
          <w:szCs w:val="22"/>
          <w:lang w:val="uk-UA" w:eastAsia="en-US"/>
        </w:rPr>
        <w:lastRenderedPageBreak/>
        <w:t>оцінити ризики та переваги індустріалізації гірських територій, забезпечуючи перехід громади до моделі сталого та енергоефективного розвитку.</w:t>
      </w:r>
    </w:p>
    <w:p w:rsidR="00227FEF" w:rsidRDefault="00494B9D" w:rsidP="001A0378">
      <w:pPr>
        <w:spacing w:line="276" w:lineRule="auto"/>
        <w:jc w:val="both"/>
        <w:rPr>
          <w:lang w:val="ru-RU"/>
        </w:rPr>
      </w:pPr>
      <w:r>
        <w:rPr>
          <w:rFonts w:ascii="Times New Roman" w:eastAsia="Calibri" w:hAnsi="Times New Roman"/>
          <w:sz w:val="28"/>
          <w:szCs w:val="22"/>
          <w:lang w:val="uk-UA" w:eastAsia="en-US"/>
        </w:rPr>
        <w:t xml:space="preserve">Нижче представлено матрицю розподілу сильних і слабких сторін громади, а також можливостей і загроз, що визначатимуть її життєдіяльність до </w:t>
      </w:r>
      <w:r>
        <w:rPr>
          <w:rFonts w:ascii="Times New Roman" w:eastAsia="Calibri" w:hAnsi="Times New Roman"/>
          <w:sz w:val="28"/>
          <w:szCs w:val="22"/>
          <w:highlight w:val="yellow"/>
          <w:lang w:val="uk-UA" w:eastAsia="en-US"/>
        </w:rPr>
        <w:t>2031</w:t>
      </w:r>
      <w:r>
        <w:rPr>
          <w:rFonts w:ascii="Times New Roman" w:eastAsia="Calibri" w:hAnsi="Times New Roman"/>
          <w:sz w:val="28"/>
          <w:szCs w:val="22"/>
          <w:lang w:val="uk-UA" w:eastAsia="en-US"/>
        </w:rPr>
        <w:t xml:space="preserve"> року.</w:t>
      </w:r>
      <w:r>
        <w:rPr>
          <w:rFonts w:ascii="Arial" w:eastAsia="Arial" w:hAnsi="Arial" w:cs="Arial"/>
          <w:color w:val="1C2833"/>
          <w:sz w:val="22"/>
          <w:szCs w:val="22"/>
          <w:lang w:val="ru-RU" w:eastAsia="en-US"/>
        </w:rPr>
        <w:t xml:space="preserve"> </w:t>
      </w:r>
    </w:p>
    <w:p w:rsidR="000235D3" w:rsidRPr="000235D3" w:rsidRDefault="000235D3" w:rsidP="001A0378">
      <w:pPr>
        <w:spacing w:line="276" w:lineRule="auto"/>
        <w:jc w:val="both"/>
        <w:rPr>
          <w:lang w:val="ru-RU"/>
        </w:rPr>
      </w:pPr>
    </w:p>
    <w:p w:rsidR="00227FEF" w:rsidRDefault="00494B9D">
      <w:pPr>
        <w:spacing w:after="160" w:line="256" w:lineRule="auto"/>
        <w:jc w:val="right"/>
        <w:rPr>
          <w:rFonts w:ascii="Times New Roman" w:eastAsia="Calibri" w:hAnsi="Times New Roman"/>
          <w:i/>
          <w:sz w:val="28"/>
          <w:szCs w:val="28"/>
          <w:lang w:val="uk-UA" w:eastAsia="en-US"/>
        </w:rPr>
      </w:pPr>
      <w:r>
        <w:rPr>
          <w:rFonts w:ascii="Times New Roman" w:eastAsia="Calibri" w:hAnsi="Times New Roman"/>
          <w:i/>
          <w:sz w:val="28"/>
          <w:szCs w:val="28"/>
          <w:lang w:val="uk-UA" w:eastAsia="en-US"/>
        </w:rPr>
        <w:t xml:space="preserve">Таблиця 1. </w:t>
      </w:r>
    </w:p>
    <w:p w:rsidR="00227FEF" w:rsidRPr="005E48D4" w:rsidRDefault="00494B9D">
      <w:pPr>
        <w:spacing w:after="160" w:line="256" w:lineRule="auto"/>
        <w:jc w:val="center"/>
        <w:rPr>
          <w:lang w:val="uk-UA"/>
        </w:rPr>
      </w:pPr>
      <w:r>
        <w:rPr>
          <w:rFonts w:ascii="Times New Roman" w:eastAsia="Calibri" w:hAnsi="Times New Roman"/>
          <w:sz w:val="28"/>
          <w:szCs w:val="28"/>
          <w:lang w:val="uk-UA" w:eastAsia="en-US"/>
        </w:rPr>
        <w:t>SWOT-аналіз Тур’є-Реметівської об’єднаної т</w:t>
      </w:r>
      <w:r w:rsidRPr="005E48D4">
        <w:rPr>
          <w:lang w:val="uk-UA"/>
        </w:rPr>
        <w:t>ериторіальної громади</w:t>
      </w:r>
    </w:p>
    <w:tbl>
      <w:tblPr>
        <w:tblW w:w="9360" w:type="dxa"/>
        <w:tblInd w:w="-11" w:type="dxa"/>
        <w:tblLayout w:type="fixed"/>
        <w:tblCellMar>
          <w:top w:w="120" w:type="dxa"/>
          <w:left w:w="160" w:type="dxa"/>
          <w:bottom w:w="120" w:type="dxa"/>
          <w:right w:w="160" w:type="dxa"/>
        </w:tblCellMar>
        <w:tblLook w:val="0000" w:firstRow="0" w:lastRow="0" w:firstColumn="0" w:lastColumn="0" w:noHBand="0" w:noVBand="0"/>
      </w:tblPr>
      <w:tblGrid>
        <w:gridCol w:w="4680"/>
        <w:gridCol w:w="4680"/>
      </w:tblGrid>
      <w:tr w:rsidR="00227FEF">
        <w:tc>
          <w:tcPr>
            <w:tcW w:w="4680" w:type="dxa"/>
            <w:tcBorders>
              <w:top w:val="single" w:sz="2" w:space="0" w:color="CCCCCC"/>
              <w:left w:val="single" w:sz="2" w:space="0" w:color="CCCCCC"/>
              <w:bottom w:val="single" w:sz="2" w:space="0" w:color="CCCCCC"/>
              <w:right w:val="single" w:sz="2" w:space="0" w:color="CCCCCC"/>
            </w:tcBorders>
            <w:shd w:val="clear" w:color="auto" w:fill="1A5276"/>
          </w:tcPr>
          <w:p w:rsidR="00227FEF" w:rsidRDefault="00494B9D">
            <w:pPr>
              <w:spacing w:after="160" w:line="256" w:lineRule="auto"/>
              <w:jc w:val="center"/>
              <w:rPr>
                <w:rFonts w:ascii="Times New Roman" w:eastAsia="Calibri" w:hAnsi="Times New Roman"/>
                <w:sz w:val="24"/>
                <w:szCs w:val="24"/>
                <w:lang w:val="uk-UA" w:eastAsia="en-US"/>
              </w:rPr>
            </w:pPr>
            <w:r>
              <w:rPr>
                <w:rFonts w:ascii="Times New Roman" w:eastAsia="Arial" w:hAnsi="Times New Roman"/>
                <w:b/>
                <w:bCs/>
                <w:color w:val="FFFFFF"/>
                <w:sz w:val="24"/>
                <w:szCs w:val="24"/>
                <w:lang w:val="uk-UA" w:eastAsia="en-US"/>
              </w:rPr>
              <w:t>ВНУТРІШНІ ФАКТОРИ</w:t>
            </w:r>
          </w:p>
        </w:tc>
        <w:tc>
          <w:tcPr>
            <w:tcW w:w="4680" w:type="dxa"/>
            <w:tcBorders>
              <w:top w:val="single" w:sz="2" w:space="0" w:color="CCCCCC"/>
              <w:left w:val="single" w:sz="2" w:space="0" w:color="CCCCCC"/>
              <w:bottom w:val="single" w:sz="2" w:space="0" w:color="CCCCCC"/>
              <w:right w:val="single" w:sz="2" w:space="0" w:color="CCCCCC"/>
            </w:tcBorders>
            <w:shd w:val="clear" w:color="auto" w:fill="922B21"/>
          </w:tcPr>
          <w:p w:rsidR="00227FEF" w:rsidRDefault="00494B9D">
            <w:pPr>
              <w:spacing w:after="160" w:line="256" w:lineRule="auto"/>
              <w:jc w:val="center"/>
              <w:rPr>
                <w:rFonts w:ascii="Times New Roman" w:eastAsia="Calibri" w:hAnsi="Times New Roman"/>
                <w:sz w:val="24"/>
                <w:szCs w:val="24"/>
                <w:lang w:val="uk-UA" w:eastAsia="en-US"/>
              </w:rPr>
            </w:pPr>
            <w:r>
              <w:rPr>
                <w:rFonts w:ascii="Times New Roman" w:eastAsia="Arial" w:hAnsi="Times New Roman"/>
                <w:b/>
                <w:bCs/>
                <w:color w:val="FFFFFF"/>
                <w:sz w:val="24"/>
                <w:szCs w:val="24"/>
                <w:lang w:val="uk-UA" w:eastAsia="en-US"/>
              </w:rPr>
              <w:t>ЗОВНІШНІ ФАКТОРИ</w:t>
            </w:r>
          </w:p>
        </w:tc>
      </w:tr>
      <w:tr w:rsidR="00227FEF" w:rsidRPr="00F155F9">
        <w:tc>
          <w:tcPr>
            <w:tcW w:w="4680" w:type="dxa"/>
            <w:tcBorders>
              <w:top w:val="single" w:sz="2" w:space="0" w:color="CCCCCC"/>
              <w:left w:val="single" w:sz="2" w:space="0" w:color="CCCCCC"/>
              <w:bottom w:val="single" w:sz="2" w:space="0" w:color="CCCCCC"/>
              <w:right w:val="single" w:sz="2" w:space="0" w:color="CCCCCC"/>
            </w:tcBorders>
            <w:shd w:val="clear" w:color="auto" w:fill="D5F5E3"/>
          </w:tcPr>
          <w:p w:rsidR="00227FEF" w:rsidRDefault="00494B9D">
            <w:pPr>
              <w:spacing w:after="120" w:line="256" w:lineRule="auto"/>
              <w:rPr>
                <w:rFonts w:ascii="Times New Roman" w:eastAsia="Calibri" w:hAnsi="Times New Roman"/>
                <w:sz w:val="24"/>
                <w:szCs w:val="24"/>
                <w:lang w:val="uk-UA" w:eastAsia="en-US"/>
              </w:rPr>
            </w:pPr>
            <w:r>
              <w:rPr>
                <w:rFonts w:ascii="Times New Roman" w:eastAsia="Arial" w:hAnsi="Times New Roman"/>
                <w:b/>
                <w:bCs/>
                <w:color w:val="1E8449"/>
                <w:sz w:val="24"/>
                <w:szCs w:val="24"/>
                <w:lang w:val="uk-UA" w:eastAsia="en-US"/>
              </w:rPr>
              <w:t>СИЛЬНІ СТОРОНИ</w:t>
            </w:r>
          </w:p>
          <w:p w:rsidR="00227FEF" w:rsidRDefault="00494B9D">
            <w:pPr>
              <w:numPr>
                <w:ilvl w:val="0"/>
                <w:numId w:val="25"/>
              </w:numPr>
              <w:spacing w:before="40" w:after="40" w:line="256" w:lineRule="auto"/>
              <w:rPr>
                <w:rFonts w:ascii="Times New Roman" w:eastAsia="Arial" w:hAnsi="Times New Roman"/>
                <w:sz w:val="24"/>
                <w:szCs w:val="24"/>
                <w:lang w:val="uk-UA" w:eastAsia="ru-RU"/>
              </w:rPr>
            </w:pPr>
            <w:r>
              <w:rPr>
                <w:rFonts w:ascii="Times New Roman" w:eastAsia="Arial" w:hAnsi="Times New Roman"/>
                <w:color w:val="1C2833"/>
                <w:sz w:val="24"/>
                <w:szCs w:val="24"/>
                <w:lang w:val="uk-UA" w:eastAsia="ru-RU"/>
              </w:rPr>
              <w:t>Унікальний природний потенціал: екологічна чистота, лісові масиви, р. Тур'я, мінеральні джерела</w:t>
            </w:r>
          </w:p>
          <w:p w:rsidR="00227FEF" w:rsidRDefault="00494B9D">
            <w:pPr>
              <w:numPr>
                <w:ilvl w:val="0"/>
                <w:numId w:val="13"/>
              </w:numPr>
              <w:spacing w:before="40" w:after="40" w:line="256" w:lineRule="auto"/>
              <w:rPr>
                <w:rFonts w:ascii="Times New Roman" w:eastAsia="Arial" w:hAnsi="Times New Roman"/>
                <w:sz w:val="24"/>
                <w:szCs w:val="24"/>
                <w:lang w:val="uk-UA" w:eastAsia="ru-RU"/>
              </w:rPr>
            </w:pPr>
            <w:r>
              <w:rPr>
                <w:rFonts w:ascii="Times New Roman" w:eastAsia="Arial" w:hAnsi="Times New Roman"/>
                <w:color w:val="1C2833"/>
                <w:sz w:val="24"/>
                <w:szCs w:val="24"/>
                <w:lang w:val="uk-UA" w:eastAsia="ru-RU"/>
              </w:rPr>
              <w:t>Туристична та гастрономічна автентика: курорт Лумшори, гастробренди, подієвий та історичний туризм, крафтове виробництво</w:t>
            </w:r>
          </w:p>
          <w:p w:rsidR="00227FEF" w:rsidRDefault="00494B9D">
            <w:pPr>
              <w:numPr>
                <w:ilvl w:val="0"/>
                <w:numId w:val="13"/>
              </w:numPr>
              <w:spacing w:before="40" w:after="40" w:line="256" w:lineRule="auto"/>
              <w:rPr>
                <w:rFonts w:ascii="Times New Roman" w:eastAsia="Arial" w:hAnsi="Times New Roman"/>
                <w:sz w:val="24"/>
                <w:szCs w:val="24"/>
                <w:lang w:val="uk-UA" w:eastAsia="ru-RU"/>
              </w:rPr>
            </w:pPr>
            <w:r>
              <w:rPr>
                <w:rFonts w:ascii="Times New Roman" w:eastAsia="Arial" w:hAnsi="Times New Roman"/>
                <w:color w:val="1C2833"/>
                <w:sz w:val="24"/>
                <w:szCs w:val="24"/>
                <w:lang w:val="uk-UA" w:eastAsia="ru-RU"/>
              </w:rPr>
              <w:t>Вигідне логістичне розташування: близькість до Ужгорода та кордонів ЄС (Словаччина, Угорщина)</w:t>
            </w:r>
          </w:p>
          <w:p w:rsidR="00227FEF" w:rsidRDefault="00494B9D">
            <w:pPr>
              <w:numPr>
                <w:ilvl w:val="0"/>
                <w:numId w:val="13"/>
              </w:numPr>
              <w:spacing w:before="40" w:after="40" w:line="256" w:lineRule="auto"/>
              <w:rPr>
                <w:rFonts w:ascii="Times New Roman" w:eastAsia="Arial" w:hAnsi="Times New Roman"/>
                <w:sz w:val="24"/>
                <w:szCs w:val="24"/>
                <w:lang w:val="uk-UA" w:eastAsia="ru-RU"/>
              </w:rPr>
            </w:pPr>
            <w:r>
              <w:rPr>
                <w:rFonts w:ascii="Times New Roman" w:eastAsia="Arial" w:hAnsi="Times New Roman"/>
                <w:color w:val="1C2833"/>
                <w:sz w:val="24"/>
                <w:szCs w:val="24"/>
                <w:lang w:val="uk-UA" w:eastAsia="ru-RU"/>
              </w:rPr>
              <w:t>Історико-культурний капітал: традиції, сакральні пам’ятки, легенди</w:t>
            </w:r>
          </w:p>
          <w:p w:rsidR="00227FEF" w:rsidRDefault="00494B9D">
            <w:pPr>
              <w:numPr>
                <w:ilvl w:val="0"/>
                <w:numId w:val="13"/>
              </w:numPr>
              <w:spacing w:before="40" w:after="40" w:line="256" w:lineRule="auto"/>
              <w:rPr>
                <w:rFonts w:ascii="Times New Roman" w:eastAsia="Arial" w:hAnsi="Times New Roman"/>
                <w:sz w:val="24"/>
                <w:szCs w:val="24"/>
                <w:lang w:val="uk-UA" w:eastAsia="ru-RU"/>
              </w:rPr>
            </w:pPr>
            <w:r>
              <w:rPr>
                <w:rFonts w:ascii="Times New Roman" w:eastAsia="Arial" w:hAnsi="Times New Roman"/>
                <w:color w:val="1C2833"/>
                <w:sz w:val="24"/>
                <w:szCs w:val="24"/>
                <w:lang w:val="uk-UA" w:eastAsia="ru-RU"/>
              </w:rPr>
              <w:t xml:space="preserve">Енергетичний потенціал високогір’я (Полонина Руна та прилеглі хребти): </w:t>
            </w:r>
          </w:p>
          <w:p w:rsidR="00227FEF" w:rsidRDefault="00494B9D">
            <w:pPr>
              <w:numPr>
                <w:ilvl w:val="0"/>
                <w:numId w:val="13"/>
              </w:numPr>
              <w:spacing w:before="40" w:after="40" w:line="256" w:lineRule="auto"/>
              <w:rPr>
                <w:rFonts w:ascii="Times New Roman" w:eastAsia="Arial" w:hAnsi="Times New Roman"/>
                <w:sz w:val="24"/>
                <w:szCs w:val="24"/>
                <w:lang w:val="uk-UA" w:eastAsia="ru-RU"/>
              </w:rPr>
            </w:pPr>
            <w:r>
              <w:rPr>
                <w:rFonts w:ascii="Times New Roman" w:eastAsia="Arial" w:hAnsi="Times New Roman"/>
                <w:color w:val="1C2833"/>
                <w:sz w:val="24"/>
                <w:szCs w:val="24"/>
                <w:lang w:val="uk-UA" w:eastAsia="ru-RU"/>
              </w:rPr>
              <w:t>Фінансова вигода від інвестиційних проєктів: орендні надходження від ВДЕ-проєктів до бюджету ОТГ</w:t>
            </w:r>
          </w:p>
        </w:tc>
        <w:tc>
          <w:tcPr>
            <w:tcW w:w="4680" w:type="dxa"/>
            <w:tcBorders>
              <w:top w:val="single" w:sz="2" w:space="0" w:color="CCCCCC"/>
              <w:left w:val="single" w:sz="2" w:space="0" w:color="CCCCCC"/>
              <w:bottom w:val="single" w:sz="2" w:space="0" w:color="CCCCCC"/>
              <w:right w:val="single" w:sz="2" w:space="0" w:color="CCCCCC"/>
            </w:tcBorders>
            <w:shd w:val="clear" w:color="auto" w:fill="D6EAF8"/>
          </w:tcPr>
          <w:p w:rsidR="00227FEF" w:rsidRDefault="00494B9D">
            <w:pPr>
              <w:spacing w:after="120" w:line="256" w:lineRule="auto"/>
              <w:rPr>
                <w:rFonts w:ascii="Times New Roman" w:eastAsia="Calibri" w:hAnsi="Times New Roman"/>
                <w:sz w:val="24"/>
                <w:szCs w:val="24"/>
                <w:lang w:val="uk-UA" w:eastAsia="en-US"/>
              </w:rPr>
            </w:pPr>
            <w:r>
              <w:rPr>
                <w:rFonts w:ascii="Times New Roman" w:eastAsia="Arial" w:hAnsi="Times New Roman"/>
                <w:b/>
                <w:bCs/>
                <w:color w:val="1A5276"/>
                <w:sz w:val="24"/>
                <w:szCs w:val="24"/>
                <w:lang w:val="uk-UA" w:eastAsia="en-US"/>
              </w:rPr>
              <w:t>МОЖЛИВОСТІ</w:t>
            </w:r>
          </w:p>
          <w:p w:rsidR="00227FEF" w:rsidRDefault="00494B9D">
            <w:pPr>
              <w:numPr>
                <w:ilvl w:val="0"/>
                <w:numId w:val="13"/>
              </w:numPr>
              <w:spacing w:before="40" w:after="40" w:line="256" w:lineRule="auto"/>
              <w:rPr>
                <w:rFonts w:ascii="Times New Roman" w:eastAsia="Arial" w:hAnsi="Times New Roman"/>
                <w:sz w:val="24"/>
                <w:szCs w:val="24"/>
                <w:lang w:val="uk-UA" w:eastAsia="ru-RU"/>
              </w:rPr>
            </w:pPr>
            <w:r>
              <w:rPr>
                <w:rFonts w:ascii="Times New Roman" w:eastAsia="Arial" w:hAnsi="Times New Roman"/>
                <w:color w:val="1C2833"/>
                <w:sz w:val="24"/>
                <w:szCs w:val="24"/>
                <w:lang w:val="uk-UA" w:eastAsia="ru-RU"/>
              </w:rPr>
              <w:t>Євроінтеграційні перспективи та грантова підтримка: гранти ЄС та транскордонне співробітництво (Interreg PL-SK-HU-UA)</w:t>
            </w:r>
          </w:p>
          <w:p w:rsidR="00227FEF" w:rsidRDefault="00494B9D">
            <w:pPr>
              <w:numPr>
                <w:ilvl w:val="0"/>
                <w:numId w:val="13"/>
              </w:numPr>
              <w:spacing w:before="40" w:after="40" w:line="256" w:lineRule="auto"/>
              <w:rPr>
                <w:rFonts w:ascii="Times New Roman" w:eastAsia="Arial" w:hAnsi="Times New Roman"/>
                <w:sz w:val="24"/>
                <w:szCs w:val="24"/>
                <w:lang w:val="uk-UA" w:eastAsia="ru-RU"/>
              </w:rPr>
            </w:pPr>
            <w:r>
              <w:rPr>
                <w:rFonts w:ascii="Times New Roman" w:eastAsia="Arial" w:hAnsi="Times New Roman"/>
                <w:color w:val="1C2833"/>
                <w:sz w:val="24"/>
                <w:szCs w:val="24"/>
                <w:lang w:val="uk-UA" w:eastAsia="ru-RU"/>
              </w:rPr>
              <w:t>Розвиток відновлювальної енергетики та енергонезалежність: ВЕС, малі ГЕС, сонячна генерація</w:t>
            </w:r>
          </w:p>
          <w:p w:rsidR="00227FEF" w:rsidRDefault="00494B9D">
            <w:pPr>
              <w:numPr>
                <w:ilvl w:val="0"/>
                <w:numId w:val="13"/>
              </w:numPr>
              <w:spacing w:before="40" w:after="40" w:line="256" w:lineRule="auto"/>
              <w:rPr>
                <w:rFonts w:ascii="Times New Roman" w:eastAsia="Arial" w:hAnsi="Times New Roman"/>
                <w:sz w:val="24"/>
                <w:szCs w:val="24"/>
                <w:lang w:val="uk-UA" w:eastAsia="ru-RU"/>
              </w:rPr>
            </w:pPr>
            <w:r>
              <w:rPr>
                <w:rFonts w:ascii="Times New Roman" w:eastAsia="Arial" w:hAnsi="Times New Roman"/>
                <w:color w:val="1C2833"/>
                <w:sz w:val="24"/>
                <w:szCs w:val="24"/>
                <w:lang w:val="uk-UA" w:eastAsia="ru-RU"/>
              </w:rPr>
              <w:t>Трансформація туристичного ринку та формування рекреаційного хабу: зростання попиту на «зелений» туризм і реабілітаційні центри, промисловий туризм</w:t>
            </w:r>
          </w:p>
          <w:p w:rsidR="00227FEF" w:rsidRDefault="00494B9D">
            <w:pPr>
              <w:numPr>
                <w:ilvl w:val="0"/>
                <w:numId w:val="13"/>
              </w:numPr>
              <w:spacing w:before="40" w:after="40" w:line="256" w:lineRule="auto"/>
              <w:rPr>
                <w:rFonts w:ascii="Times New Roman" w:eastAsia="Arial" w:hAnsi="Times New Roman"/>
                <w:sz w:val="24"/>
                <w:szCs w:val="24"/>
                <w:lang w:val="uk-UA" w:eastAsia="ru-RU"/>
              </w:rPr>
            </w:pPr>
            <w:r>
              <w:rPr>
                <w:rFonts w:ascii="Times New Roman" w:eastAsia="Arial" w:hAnsi="Times New Roman"/>
                <w:color w:val="1C2833"/>
                <w:sz w:val="24"/>
                <w:szCs w:val="24"/>
                <w:lang w:val="uk-UA" w:eastAsia="ru-RU"/>
              </w:rPr>
              <w:t>Державна підтримка та релокація бізнесу: розвиток малого та середнього бізнесу, інфраструктурні бонуси від інвесторів (дороги, електромережі) тощо</w:t>
            </w:r>
          </w:p>
          <w:p w:rsidR="00227FEF" w:rsidRDefault="00227FEF">
            <w:pPr>
              <w:spacing w:before="40" w:after="40"/>
              <w:rPr>
                <w:rFonts w:ascii="Times New Roman" w:eastAsia="Arial" w:hAnsi="Times New Roman"/>
                <w:sz w:val="24"/>
                <w:szCs w:val="24"/>
                <w:lang w:val="uk-UA" w:eastAsia="ru-RU"/>
              </w:rPr>
            </w:pPr>
          </w:p>
        </w:tc>
      </w:tr>
      <w:tr w:rsidR="00227FEF" w:rsidRPr="00F155F9">
        <w:tc>
          <w:tcPr>
            <w:tcW w:w="4680" w:type="dxa"/>
            <w:tcBorders>
              <w:top w:val="single" w:sz="2" w:space="0" w:color="CCCCCC"/>
              <w:left w:val="single" w:sz="2" w:space="0" w:color="CCCCCC"/>
              <w:bottom w:val="single" w:sz="2" w:space="0" w:color="CCCCCC"/>
              <w:right w:val="single" w:sz="2" w:space="0" w:color="CCCCCC"/>
            </w:tcBorders>
            <w:shd w:val="clear" w:color="auto" w:fill="FEF9E7"/>
          </w:tcPr>
          <w:p w:rsidR="00227FEF" w:rsidRDefault="00494B9D">
            <w:pPr>
              <w:spacing w:after="120" w:line="256" w:lineRule="auto"/>
              <w:rPr>
                <w:rFonts w:ascii="Times New Roman" w:eastAsia="Calibri" w:hAnsi="Times New Roman"/>
                <w:sz w:val="24"/>
                <w:szCs w:val="24"/>
                <w:lang w:val="uk-UA" w:eastAsia="en-US"/>
              </w:rPr>
            </w:pPr>
            <w:r>
              <w:rPr>
                <w:rFonts w:ascii="Times New Roman" w:eastAsia="Arial" w:hAnsi="Times New Roman"/>
                <w:b/>
                <w:bCs/>
                <w:color w:val="B7770D"/>
                <w:sz w:val="24"/>
                <w:szCs w:val="24"/>
                <w:lang w:val="uk-UA" w:eastAsia="en-US"/>
              </w:rPr>
              <w:t>СЛАБКІ СТОРОНИ</w:t>
            </w:r>
          </w:p>
          <w:p w:rsidR="00227FEF" w:rsidRDefault="00494B9D">
            <w:pPr>
              <w:numPr>
                <w:ilvl w:val="0"/>
                <w:numId w:val="13"/>
              </w:numPr>
              <w:spacing w:before="40" w:after="40" w:line="256" w:lineRule="auto"/>
              <w:rPr>
                <w:rFonts w:ascii="Times New Roman" w:eastAsia="Arial" w:hAnsi="Times New Roman"/>
                <w:sz w:val="24"/>
                <w:szCs w:val="24"/>
                <w:lang w:val="uk-UA" w:eastAsia="ru-RU"/>
              </w:rPr>
            </w:pPr>
            <w:r>
              <w:rPr>
                <w:rFonts w:ascii="Times New Roman" w:eastAsia="Arial" w:hAnsi="Times New Roman"/>
                <w:color w:val="1C2833"/>
                <w:sz w:val="24"/>
                <w:szCs w:val="24"/>
                <w:lang w:val="uk-UA" w:eastAsia="ru-RU"/>
              </w:rPr>
              <w:t xml:space="preserve">Транспортна та інженерна інфраструктура: </w:t>
            </w:r>
            <w:r>
              <w:rPr>
                <w:rFonts w:ascii="Times New Roman" w:eastAsia="Times New Roman" w:hAnsi="Times New Roman"/>
                <w:color w:val="1F1F1F"/>
                <w:sz w:val="24"/>
                <w:szCs w:val="24"/>
                <w:lang w:val="ru-RU" w:eastAsia="ru-RU"/>
              </w:rPr>
              <w:t>зношеність доріг, відсутність очисних споруд та систем централізованого водовідведення</w:t>
            </w:r>
            <w:r>
              <w:rPr>
                <w:rFonts w:ascii="Times New Roman" w:eastAsia="Arial" w:hAnsi="Times New Roman"/>
                <w:color w:val="1C2833"/>
                <w:sz w:val="24"/>
                <w:szCs w:val="24"/>
                <w:lang w:val="uk-UA" w:eastAsia="ru-RU"/>
              </w:rPr>
              <w:t xml:space="preserve"> </w:t>
            </w:r>
          </w:p>
          <w:p w:rsidR="00227FEF" w:rsidRDefault="00494B9D">
            <w:pPr>
              <w:numPr>
                <w:ilvl w:val="0"/>
                <w:numId w:val="13"/>
              </w:numPr>
              <w:spacing w:before="40" w:after="40" w:line="256" w:lineRule="auto"/>
              <w:rPr>
                <w:rFonts w:ascii="Times New Roman" w:eastAsia="Arial" w:hAnsi="Times New Roman"/>
                <w:sz w:val="24"/>
                <w:szCs w:val="24"/>
                <w:lang w:val="uk-UA" w:eastAsia="ru-RU"/>
              </w:rPr>
            </w:pPr>
            <w:r>
              <w:rPr>
                <w:rFonts w:ascii="Times New Roman" w:eastAsia="Arial" w:hAnsi="Times New Roman"/>
                <w:color w:val="1C2833"/>
                <w:sz w:val="24"/>
                <w:szCs w:val="24"/>
                <w:lang w:val="uk-UA" w:eastAsia="ru-RU"/>
              </w:rPr>
              <w:t xml:space="preserve">Екологічні та природні виклики: </w:t>
            </w:r>
            <w:r>
              <w:rPr>
                <w:rFonts w:ascii="Times New Roman" w:eastAsia="Times New Roman" w:hAnsi="Times New Roman"/>
                <w:bCs/>
                <w:color w:val="1F1F1F"/>
                <w:sz w:val="24"/>
                <w:szCs w:val="24"/>
                <w:lang w:val="uk-UA" w:eastAsia="ru-RU"/>
              </w:rPr>
              <w:t>загроза повеней/паводків через вирубку</w:t>
            </w:r>
            <w:r>
              <w:rPr>
                <w:rFonts w:ascii="Times New Roman" w:eastAsia="Times New Roman" w:hAnsi="Times New Roman"/>
                <w:b/>
                <w:bCs/>
                <w:color w:val="1F1F1F"/>
                <w:sz w:val="24"/>
                <w:szCs w:val="24"/>
                <w:lang w:val="uk-UA" w:eastAsia="ru-RU"/>
              </w:rPr>
              <w:t xml:space="preserve"> </w:t>
            </w:r>
            <w:r>
              <w:rPr>
                <w:rFonts w:ascii="Times New Roman" w:eastAsia="Times New Roman" w:hAnsi="Times New Roman"/>
                <w:bCs/>
                <w:color w:val="1F1F1F"/>
                <w:sz w:val="24"/>
                <w:szCs w:val="24"/>
                <w:lang w:val="uk-UA" w:eastAsia="ru-RU"/>
              </w:rPr>
              <w:t>лісів та відсутність сучасної системи утилізації відходів</w:t>
            </w:r>
          </w:p>
          <w:p w:rsidR="00227FEF" w:rsidRDefault="00494B9D">
            <w:pPr>
              <w:numPr>
                <w:ilvl w:val="0"/>
                <w:numId w:val="13"/>
              </w:numPr>
              <w:spacing w:before="40" w:after="40" w:line="256" w:lineRule="auto"/>
              <w:rPr>
                <w:rFonts w:ascii="Times New Roman" w:eastAsia="Arial" w:hAnsi="Times New Roman"/>
                <w:sz w:val="24"/>
                <w:szCs w:val="24"/>
                <w:lang w:val="uk-UA" w:eastAsia="ru-RU"/>
              </w:rPr>
            </w:pPr>
            <w:r>
              <w:rPr>
                <w:rFonts w:ascii="Times New Roman" w:eastAsia="Arial" w:hAnsi="Times New Roman"/>
                <w:color w:val="1C2833"/>
                <w:sz w:val="24"/>
                <w:szCs w:val="24"/>
                <w:lang w:val="uk-UA" w:eastAsia="ru-RU"/>
              </w:rPr>
              <w:lastRenderedPageBreak/>
              <w:t xml:space="preserve">Демографія та людський капітал: відтік молоді та кваліфікованих кадрів </w:t>
            </w:r>
          </w:p>
          <w:p w:rsidR="00227FEF" w:rsidRDefault="00494B9D">
            <w:pPr>
              <w:numPr>
                <w:ilvl w:val="0"/>
                <w:numId w:val="13"/>
              </w:numPr>
              <w:spacing w:before="40" w:after="40" w:line="256" w:lineRule="auto"/>
              <w:rPr>
                <w:rFonts w:ascii="Times New Roman" w:eastAsia="Arial" w:hAnsi="Times New Roman"/>
                <w:sz w:val="24"/>
                <w:szCs w:val="24"/>
                <w:lang w:val="uk-UA" w:eastAsia="ru-RU"/>
              </w:rPr>
            </w:pPr>
            <w:r>
              <w:rPr>
                <w:rFonts w:ascii="Times New Roman" w:eastAsia="Arial" w:hAnsi="Times New Roman"/>
                <w:sz w:val="24"/>
                <w:szCs w:val="24"/>
                <w:lang w:val="uk-UA" w:eastAsia="ru-RU"/>
              </w:rPr>
              <w:t>Економічна та бюджетна вразливість: слабка диверсифікація бізнесу, тінізація туристичних послуг, в</w:t>
            </w:r>
            <w:r>
              <w:rPr>
                <w:rFonts w:ascii="Times New Roman" w:eastAsia="Arial" w:hAnsi="Times New Roman"/>
                <w:color w:val="1C2833"/>
                <w:sz w:val="24"/>
                <w:szCs w:val="24"/>
                <w:lang w:val="uk-UA" w:eastAsia="ru-RU"/>
              </w:rPr>
              <w:t>ідсутність підготовлених інвестиційних майданчиків, висока залежність від дотацій, низькі власні доходи громади (ПДФО)</w:t>
            </w:r>
          </w:p>
          <w:p w:rsidR="00227FEF" w:rsidRDefault="00494B9D">
            <w:pPr>
              <w:numPr>
                <w:ilvl w:val="0"/>
                <w:numId w:val="13"/>
              </w:numPr>
              <w:spacing w:before="40" w:after="40" w:line="256" w:lineRule="auto"/>
              <w:rPr>
                <w:rFonts w:ascii="Times New Roman" w:eastAsia="Arial" w:hAnsi="Times New Roman"/>
                <w:sz w:val="24"/>
                <w:szCs w:val="24"/>
                <w:lang w:val="uk-UA" w:eastAsia="ru-RU"/>
              </w:rPr>
            </w:pPr>
            <w:r>
              <w:rPr>
                <w:rFonts w:ascii="Times New Roman" w:eastAsia="Arial" w:hAnsi="Times New Roman"/>
                <w:color w:val="1C2833"/>
                <w:sz w:val="24"/>
                <w:szCs w:val="24"/>
                <w:lang w:val="uk-UA" w:eastAsia="ru-RU"/>
              </w:rPr>
              <w:t>Соціальна інфраструктура: зношеність, відсутність інклюзивного доступу</w:t>
            </w:r>
          </w:p>
          <w:p w:rsidR="00227FEF" w:rsidRDefault="00494B9D">
            <w:pPr>
              <w:numPr>
                <w:ilvl w:val="0"/>
                <w:numId w:val="13"/>
              </w:numPr>
              <w:spacing w:before="40" w:after="40" w:line="256" w:lineRule="auto"/>
              <w:rPr>
                <w:rFonts w:ascii="Times New Roman" w:eastAsia="Arial" w:hAnsi="Times New Roman"/>
                <w:sz w:val="24"/>
                <w:szCs w:val="24"/>
                <w:lang w:val="uk-UA" w:eastAsia="ru-RU"/>
              </w:rPr>
            </w:pPr>
            <w:r>
              <w:rPr>
                <w:rFonts w:ascii="Times New Roman" w:eastAsia="Arial" w:hAnsi="Times New Roman"/>
                <w:color w:val="1C2833"/>
                <w:sz w:val="24"/>
                <w:szCs w:val="24"/>
                <w:lang w:val="uk-UA" w:eastAsia="ru-RU"/>
              </w:rPr>
              <w:t>Соціально-комунікаційні та ландшафтні ризики: потенційний соціальний спротив через плани промислового освоєння високогір’я</w:t>
            </w:r>
          </w:p>
        </w:tc>
        <w:tc>
          <w:tcPr>
            <w:tcW w:w="4680" w:type="dxa"/>
            <w:tcBorders>
              <w:top w:val="single" w:sz="2" w:space="0" w:color="CCCCCC"/>
              <w:left w:val="single" w:sz="2" w:space="0" w:color="CCCCCC"/>
              <w:bottom w:val="single" w:sz="2" w:space="0" w:color="CCCCCC"/>
              <w:right w:val="single" w:sz="2" w:space="0" w:color="CCCCCC"/>
            </w:tcBorders>
            <w:shd w:val="clear" w:color="auto" w:fill="FADBD8"/>
          </w:tcPr>
          <w:p w:rsidR="00227FEF" w:rsidRDefault="00494B9D">
            <w:pPr>
              <w:spacing w:after="120" w:line="256" w:lineRule="auto"/>
              <w:rPr>
                <w:rFonts w:ascii="Times New Roman" w:eastAsia="Calibri" w:hAnsi="Times New Roman"/>
                <w:sz w:val="24"/>
                <w:szCs w:val="24"/>
                <w:lang w:val="uk-UA" w:eastAsia="en-US"/>
              </w:rPr>
            </w:pPr>
            <w:r>
              <w:rPr>
                <w:rFonts w:ascii="Times New Roman" w:eastAsia="Arial" w:hAnsi="Times New Roman"/>
                <w:b/>
                <w:bCs/>
                <w:color w:val="A93226"/>
                <w:sz w:val="24"/>
                <w:szCs w:val="24"/>
                <w:lang w:val="uk-UA" w:eastAsia="en-US"/>
              </w:rPr>
              <w:lastRenderedPageBreak/>
              <w:t>ЗАГРОЗИ</w:t>
            </w:r>
          </w:p>
          <w:p w:rsidR="00227FEF" w:rsidRDefault="00494B9D">
            <w:pPr>
              <w:numPr>
                <w:ilvl w:val="0"/>
                <w:numId w:val="13"/>
              </w:numPr>
              <w:spacing w:before="40" w:after="40" w:line="256" w:lineRule="auto"/>
              <w:rPr>
                <w:rFonts w:ascii="Times New Roman" w:eastAsia="Arial" w:hAnsi="Times New Roman"/>
                <w:sz w:val="24"/>
                <w:szCs w:val="24"/>
                <w:lang w:val="uk-UA" w:eastAsia="ru-RU"/>
              </w:rPr>
            </w:pPr>
            <w:r>
              <w:rPr>
                <w:rFonts w:ascii="Times New Roman" w:eastAsia="Arial" w:hAnsi="Times New Roman"/>
                <w:color w:val="1C2833"/>
                <w:sz w:val="24"/>
                <w:szCs w:val="24"/>
                <w:lang w:val="uk-UA" w:eastAsia="ru-RU"/>
              </w:rPr>
              <w:t>Макроекономічні та безпекові ризики: тривала війна, скорочення держфінансування. Здоржчання інфраструктурних проєктів</w:t>
            </w:r>
          </w:p>
          <w:p w:rsidR="00227FEF" w:rsidRDefault="00494B9D">
            <w:pPr>
              <w:numPr>
                <w:ilvl w:val="0"/>
                <w:numId w:val="13"/>
              </w:numPr>
              <w:spacing w:before="40" w:after="40" w:line="256" w:lineRule="auto"/>
              <w:rPr>
                <w:rFonts w:ascii="Times New Roman" w:eastAsia="Arial" w:hAnsi="Times New Roman"/>
                <w:sz w:val="24"/>
                <w:szCs w:val="24"/>
                <w:lang w:val="uk-UA" w:eastAsia="ru-RU"/>
              </w:rPr>
            </w:pPr>
            <w:r>
              <w:rPr>
                <w:rFonts w:ascii="Times New Roman" w:eastAsia="Arial" w:hAnsi="Times New Roman"/>
                <w:color w:val="1C2833"/>
                <w:sz w:val="24"/>
                <w:szCs w:val="24"/>
                <w:lang w:val="uk-UA" w:eastAsia="ru-RU"/>
              </w:rPr>
              <w:t>Екологічні та природні ризики: повені/паводки, відсутність системи утилізації відходів, вплив вітропарків на ландшафти і гідрологічний режим полонин</w:t>
            </w:r>
          </w:p>
          <w:p w:rsidR="00227FEF" w:rsidRDefault="00494B9D">
            <w:pPr>
              <w:numPr>
                <w:ilvl w:val="0"/>
                <w:numId w:val="13"/>
              </w:numPr>
              <w:spacing w:before="40" w:after="40" w:line="256" w:lineRule="auto"/>
              <w:rPr>
                <w:rFonts w:ascii="Times New Roman" w:eastAsia="Arial" w:hAnsi="Times New Roman"/>
                <w:sz w:val="24"/>
                <w:szCs w:val="24"/>
                <w:lang w:val="uk-UA" w:eastAsia="ru-RU"/>
              </w:rPr>
            </w:pPr>
            <w:r>
              <w:rPr>
                <w:rFonts w:ascii="Times New Roman" w:eastAsia="Arial" w:hAnsi="Times New Roman"/>
                <w:sz w:val="24"/>
                <w:szCs w:val="24"/>
                <w:lang w:val="uk-UA" w:eastAsia="ru-RU"/>
              </w:rPr>
              <w:lastRenderedPageBreak/>
              <w:t>Соціально-демографічні ризики: зменшенням чисельності населення, зміною його вікової структури та втрата кваліфікованих кадрів</w:t>
            </w:r>
          </w:p>
          <w:p w:rsidR="00227FEF" w:rsidRDefault="00494B9D">
            <w:pPr>
              <w:numPr>
                <w:ilvl w:val="0"/>
                <w:numId w:val="13"/>
              </w:numPr>
              <w:spacing w:before="40" w:after="40" w:line="256" w:lineRule="auto"/>
              <w:rPr>
                <w:rFonts w:ascii="Times New Roman" w:eastAsia="Arial" w:hAnsi="Times New Roman"/>
                <w:sz w:val="24"/>
                <w:szCs w:val="24"/>
                <w:lang w:val="uk-UA" w:eastAsia="ru-RU"/>
              </w:rPr>
            </w:pPr>
            <w:r>
              <w:rPr>
                <w:rFonts w:ascii="Times New Roman" w:eastAsia="Arial" w:hAnsi="Times New Roman"/>
                <w:color w:val="1C2833"/>
                <w:sz w:val="24"/>
                <w:szCs w:val="24"/>
                <w:lang w:val="uk-UA" w:eastAsia="ru-RU"/>
              </w:rPr>
              <w:t>Конкурентний та правовий тиск: конкуренція із сусідніми Полянською та Перечинською громадами, боротьба за релокований бізнес, зміни у земельному та лісовому законодавстві, посилення екологічних стандартів (EU Acquis)</w:t>
            </w:r>
          </w:p>
          <w:p w:rsidR="00227FEF" w:rsidRDefault="00494B9D">
            <w:pPr>
              <w:numPr>
                <w:ilvl w:val="0"/>
                <w:numId w:val="13"/>
              </w:numPr>
              <w:spacing w:before="40" w:after="40" w:line="256" w:lineRule="auto"/>
              <w:rPr>
                <w:rFonts w:ascii="Times New Roman" w:eastAsia="Arial" w:hAnsi="Times New Roman"/>
                <w:sz w:val="24"/>
                <w:szCs w:val="24"/>
                <w:lang w:val="uk-UA" w:eastAsia="ru-RU"/>
              </w:rPr>
            </w:pPr>
            <w:r>
              <w:rPr>
                <w:rFonts w:ascii="Times New Roman" w:eastAsia="Arial" w:hAnsi="Times New Roman"/>
                <w:color w:val="1C2833"/>
                <w:sz w:val="24"/>
                <w:szCs w:val="24"/>
                <w:lang w:val="uk-UA" w:eastAsia="ru-RU"/>
              </w:rPr>
              <w:t>Ризики індустріалізації ландшафту: втрати автентичності та візуальної привабливості регіону</w:t>
            </w:r>
          </w:p>
          <w:p w:rsidR="00227FEF" w:rsidRDefault="00227FEF">
            <w:pPr>
              <w:spacing w:before="40" w:after="40"/>
              <w:rPr>
                <w:rFonts w:ascii="Times New Roman" w:eastAsia="Arial" w:hAnsi="Times New Roman"/>
                <w:sz w:val="24"/>
                <w:szCs w:val="24"/>
                <w:lang w:val="uk-UA" w:eastAsia="ru-RU"/>
              </w:rPr>
            </w:pPr>
          </w:p>
        </w:tc>
      </w:tr>
    </w:tbl>
    <w:p w:rsidR="00227FEF" w:rsidRDefault="00227FEF">
      <w:pPr>
        <w:spacing w:line="360" w:lineRule="auto"/>
        <w:jc w:val="both"/>
        <w:rPr>
          <w:rFonts w:ascii="Arial" w:eastAsia="Arial" w:hAnsi="Arial" w:cs="Arial"/>
          <w:color w:val="1C2833"/>
          <w:sz w:val="22"/>
          <w:szCs w:val="22"/>
          <w:lang w:val="uk-UA" w:eastAsia="en-US"/>
        </w:rPr>
      </w:pPr>
    </w:p>
    <w:p w:rsidR="00227FEF" w:rsidRDefault="00494B9D">
      <w:pPr>
        <w:spacing w:line="360" w:lineRule="auto"/>
        <w:jc w:val="both"/>
        <w:rPr>
          <w:rFonts w:ascii="Times New Roman" w:eastAsia="Calibri" w:hAnsi="Times New Roman"/>
          <w:sz w:val="28"/>
          <w:szCs w:val="22"/>
          <w:lang w:val="uk-UA" w:eastAsia="en-US"/>
        </w:rPr>
      </w:pPr>
      <w:r>
        <w:rPr>
          <w:rFonts w:ascii="Times New Roman" w:eastAsia="Calibri" w:hAnsi="Times New Roman"/>
          <w:sz w:val="28"/>
          <w:szCs w:val="22"/>
          <w:lang w:val="uk-UA" w:eastAsia="en-US"/>
        </w:rPr>
        <w:t>Нижче детальніше розглянемо усі аспекти SWOT-аналізу.</w:t>
      </w:r>
    </w:p>
    <w:p w:rsidR="00227FEF" w:rsidRDefault="00494B9D" w:rsidP="001A0378">
      <w:pPr>
        <w:ind w:firstLine="708"/>
        <w:jc w:val="both"/>
        <w:rPr>
          <w:rFonts w:ascii="Times New Roman" w:eastAsia="Calibri" w:hAnsi="Times New Roman"/>
          <w:b/>
          <w:caps/>
          <w:sz w:val="28"/>
          <w:szCs w:val="22"/>
          <w:lang w:val="uk-UA" w:eastAsia="en-US"/>
        </w:rPr>
      </w:pPr>
      <w:r>
        <w:rPr>
          <w:rFonts w:ascii="Times New Roman" w:eastAsia="Calibri" w:hAnsi="Times New Roman"/>
          <w:b/>
          <w:caps/>
          <w:sz w:val="28"/>
          <w:szCs w:val="28"/>
          <w:lang w:val="uk-UA" w:eastAsia="en-US"/>
        </w:rPr>
        <w:t>І</w:t>
      </w:r>
      <w:r>
        <w:rPr>
          <w:rFonts w:ascii="Times New Roman" w:eastAsia="Calibri" w:hAnsi="Times New Roman"/>
          <w:b/>
          <w:caps/>
          <w:sz w:val="28"/>
          <w:szCs w:val="28"/>
          <w:lang w:val="ru-RU" w:eastAsia="en-US"/>
        </w:rPr>
        <w:t>. Сильні сторони (Strengths)</w:t>
      </w:r>
    </w:p>
    <w:p w:rsidR="00227FEF" w:rsidRDefault="00494B9D" w:rsidP="000235D3">
      <w:pPr>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До сильних сторін Тур’є Реметівської громади належать внутрішні ресурси та переваги громади, які є фундаментом для її подальшого зростання.</w:t>
      </w:r>
    </w:p>
    <w:p w:rsidR="00227FEF" w:rsidRDefault="00494B9D" w:rsidP="000235D3">
      <w:pPr>
        <w:ind w:firstLine="708"/>
        <w:jc w:val="both"/>
        <w:rPr>
          <w:rFonts w:ascii="Times New Roman" w:eastAsia="Times New Roman" w:hAnsi="Times New Roman"/>
          <w:sz w:val="28"/>
          <w:szCs w:val="28"/>
          <w:lang w:val="uk-UA" w:eastAsia="ru-RU"/>
        </w:rPr>
      </w:pPr>
      <w:r>
        <w:rPr>
          <w:rFonts w:ascii="Times New Roman" w:eastAsia="Times New Roman" w:hAnsi="Times New Roman"/>
          <w:b/>
          <w:sz w:val="28"/>
          <w:szCs w:val="28"/>
          <w:lang w:val="uk-UA" w:eastAsia="ru-RU"/>
        </w:rPr>
        <w:t>1.</w:t>
      </w:r>
      <w:r>
        <w:rPr>
          <w:rFonts w:ascii="Times New Roman" w:eastAsia="Times New Roman" w:hAnsi="Times New Roman"/>
          <w:sz w:val="28"/>
          <w:szCs w:val="28"/>
          <w:lang w:val="uk-UA" w:eastAsia="ru-RU"/>
        </w:rPr>
        <w:t xml:space="preserve"> </w:t>
      </w:r>
      <w:r>
        <w:rPr>
          <w:rFonts w:ascii="Times New Roman" w:eastAsia="Times New Roman" w:hAnsi="Times New Roman"/>
          <w:b/>
          <w:sz w:val="28"/>
          <w:szCs w:val="28"/>
          <w:lang w:val="uk-UA" w:eastAsia="ru-RU"/>
        </w:rPr>
        <w:t>Унікальний природно-ресурсний потенціал.</w:t>
      </w:r>
      <w:r>
        <w:rPr>
          <w:rFonts w:ascii="Times New Roman" w:eastAsia="Times New Roman" w:hAnsi="Times New Roman"/>
          <w:sz w:val="28"/>
          <w:szCs w:val="28"/>
          <w:lang w:val="uk-UA" w:eastAsia="ru-RU"/>
        </w:rPr>
        <w:t xml:space="preserve"> </w:t>
      </w:r>
      <w:r>
        <w:rPr>
          <w:rFonts w:ascii="Times New Roman" w:eastAsia="Times New Roman" w:hAnsi="Times New Roman"/>
          <w:sz w:val="28"/>
          <w:szCs w:val="24"/>
          <w:lang w:val="uk-UA" w:eastAsia="ru-RU"/>
        </w:rPr>
        <w:t>Природно-ресурсний капітал Тур’є-Реметівської ОТГ є інтегрованим ресурсом, де лісові, водні, кліматичні та бальнеологічні компоненти доповнюють один одного, створюючи умови для реалізації моделі сталого природокористування.</w:t>
      </w:r>
    </w:p>
    <w:p w:rsidR="00227FEF" w:rsidRDefault="00494B9D">
      <w:pPr>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Лісоресурсний потенціал та біорізноманіття є одним із ключових факторів, оскільки територія громади характеризується високим коефіцієнтом лісистості (понад 60%), де домінують вертикальні пояси букових та змішаних буково-ялицевих лісів. Лісові масиви виконують не лише сировинну функцію, а й критично важливі екосистемні послуги: водорегулюючу, ґрунтозахисну та кліматостабілізуючу. Це є природним бар’єром проти ерозійних процесів та паводкових явищ, характерних для гірських систем Карпат.</w:t>
      </w:r>
    </w:p>
    <w:p w:rsidR="00227FEF" w:rsidRDefault="00494B9D">
      <w:pPr>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Наявність у межах громади об’єктів, що входять до Смарагдової мережі (Emerald Network), та фрагментів пралісових структур створює високий екологічний рейтинг ОТГ та відкриває доступ до спеціалізованих фондів ЄС, що фінансують збереження біорізноманіття. На території Тур’є-Реметівської громади та безпосередньо навколо неї зосереджені унікальні об’єкти природно-заповідного фонду (ПЗФ) України. Оскільки громада охоплює частину Полонинського хребта та долину річки Тур’я, заповідні території тут мають загальнодержавне та місцеве значення. Основними об’єкти ПЗФ, які територіально входять до громади або межують із нею є наступні:</w:t>
      </w:r>
    </w:p>
    <w:p w:rsidR="00227FEF" w:rsidRDefault="00494B9D">
      <w:pPr>
        <w:numPr>
          <w:ilvl w:val="0"/>
          <w:numId w:val="7"/>
        </w:numPr>
        <w:spacing w:after="160"/>
        <w:ind w:left="811" w:hanging="35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lastRenderedPageBreak/>
        <w:t>Загальнозоологічний заказник загальнодержавного значення «Тур’є-Полянський» є найбільшим і найважливішим об’єктом у цьому районі, який розташований поблизу сіл Тур’я Поляна та Тур’я Бистра. У заказнику охороняються та проходить відтворення цінних видів тварин (олень благородний, козуля, кабан, куниця, бурий ведмідь, кіт лісовий).</w:t>
      </w:r>
    </w:p>
    <w:p w:rsidR="00227FEF" w:rsidRDefault="00494B9D">
      <w:pPr>
        <w:numPr>
          <w:ilvl w:val="0"/>
          <w:numId w:val="7"/>
        </w:numPr>
        <w:spacing w:after="160"/>
        <w:ind w:left="811" w:hanging="35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Державний заказник «Соколові Скелі» розташований на крутих схилах, де гніздяться рідкісні хижі птахи, занесені до Червоної книги України (сапсан, беркут, пугач). Це є важливою територією для орнітологічного моніторингу. </w:t>
      </w:r>
    </w:p>
    <w:p w:rsidR="00227FEF" w:rsidRDefault="00494B9D">
      <w:pPr>
        <w:numPr>
          <w:ilvl w:val="0"/>
          <w:numId w:val="7"/>
        </w:numPr>
        <w:spacing w:after="160"/>
        <w:ind w:left="811" w:hanging="35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Кам’яні останці Соколець, Печера Діравий Камінь (с.Тур’ї Ремети), Липовецькі скелі (с. Липовець).</w:t>
      </w:r>
    </w:p>
    <w:p w:rsidR="00227FEF" w:rsidRDefault="00494B9D">
      <w:pPr>
        <w:numPr>
          <w:ilvl w:val="0"/>
          <w:numId w:val="7"/>
        </w:numPr>
        <w:spacing w:after="160"/>
        <w:ind w:left="811" w:hanging="35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Пам’ятка природи загальнодержавного значення «Високий Камінь», що розташування поблизу села Підполоззя (на межі громад). Тут охороняються реліктові насадження дуба скельного та сосни чорної на доломітових скелях. Це унікальний ботанічний об’єкт, який демонструє, як рослинність адаптувалася до специфічних геологічних умов.</w:t>
      </w:r>
    </w:p>
    <w:p w:rsidR="00227FEF" w:rsidRDefault="00494B9D">
      <w:pPr>
        <w:numPr>
          <w:ilvl w:val="0"/>
          <w:numId w:val="7"/>
        </w:numPr>
        <w:spacing w:after="160"/>
        <w:ind w:left="811" w:hanging="35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Гідрологічні пам’ятки: водоспади в с. Лумшори, водоспад «Воєводино» (с.Тур’я Поляна). Хоча він знаходиться на межі з сусідніми територіями, він є ключовим туристичним магнітом Тур’є-Реметівської ОТГ та має велике естетичне та наукове значення для вивчення гідрології Карпат.</w:t>
      </w:r>
    </w:p>
    <w:p w:rsidR="00227FEF" w:rsidRDefault="00494B9D">
      <w:pPr>
        <w:numPr>
          <w:ilvl w:val="0"/>
          <w:numId w:val="7"/>
        </w:numPr>
        <w:spacing w:after="160"/>
        <w:ind w:left="709" w:hanging="35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Пралісові пам’ятки природи. У межах масиву Полонина Руна та прилеглих хребтів збереглися ділянки, де ліс має складну структуру: дерева різного віку (від проростків до гігантів віком 300–400 років), велика кількість мертвої деревини (сухостій, що лежить), яка є домівкою для тисяч видів комах та грибів. Останніми роками на території ДП «Перечинське ЛГ» (яке обслуговує ліси громади) було виділено декілька ділянок пралісів та квазіпралісів. Вони мають статус пам’яток природи місцевого значення. Навколо них створюються суворі заповідні зони, де заборонена будь-яка господарська діяльність, включаючи санітарні рубки.</w:t>
      </w:r>
    </w:p>
    <w:p w:rsidR="00227FEF" w:rsidRDefault="00494B9D" w:rsidP="000235D3">
      <w:pPr>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Гідрографічна сітка громади представлена річкою Тур’я (ліва притока р. Уж) та її численними притоками (Туриця, Звур, Сімерка, Клокотива, Бистрик та ін.). Загалом гірські потоки громади відносяться до категорії «чистих» та «дуже чистих» вод з низьким рівнем мінералізації та високим вмістом розчиненого кисню. Крім рекреаційного значення (форелеві господарства, еко-туризм), гідрологічна мережа має потенціал для малої гідроенергетики, що в поєднанні з вітроенергетикою може забезпечити громаді статус «вуглецево-нейтральної території».</w:t>
      </w:r>
    </w:p>
    <w:p w:rsidR="00227FEF" w:rsidRDefault="00494B9D" w:rsidP="000235D3">
      <w:pPr>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Бальнеологічні ресурси та геохімія підземних вод також є важливим природним ресурсом громади. Так, її територія розташована на межі Закарпатського внутрішнього прогину, Вулканічного хребта та Флішових Карпат, що зумовлює складну геологічну будову та наявність виходів мінеральних вод. Це переважно </w:t>
      </w:r>
      <w:r>
        <w:rPr>
          <w:rFonts w:ascii="Times New Roman" w:eastAsia="Times New Roman" w:hAnsi="Times New Roman"/>
          <w:sz w:val="28"/>
          <w:szCs w:val="28"/>
          <w:lang w:val="uk-UA" w:eastAsia="ru-RU"/>
        </w:rPr>
        <w:lastRenderedPageBreak/>
        <w:t xml:space="preserve">вуглекислі маломінералізовані гідрокарбонатно-хлоридні натрієві води (аналоги «Поляни Квасової» або лумшорські сірководневі води у с. Лумшори, с. Турички). Використання мінеральних вод для зовнішнього (чани в с. Лумшори) та внутрішнього застосування створює підґрунтя для формування бальнеологічного кластеру. Науково доведено, що термальний та мінеральний градієнти цих вод мають високу терапевтичну ефективність для лікування захворювань опорно-рухового апарату та нервової системи. </w:t>
      </w:r>
    </w:p>
    <w:p w:rsidR="00227FEF" w:rsidRDefault="00494B9D" w:rsidP="000235D3">
      <w:pPr>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Ландшафтний та кліматичний потенціал громади є безперечним лідером, оскільки геоморфологічна будова (від низькогір’я до високогір’я Полонини Руни) створює різноманітність мікрокліматичних умов. Наукові метеорологічні спостереження підтверджують наявність стійких повітряних потоків на висотах 800–1200 м н.р.м. Це робить гірські хребти громади стратегічним ресурсом для вітроенергетики, де швидкість вітру дозволяє досягати максимального ККД вітроустановок. </w:t>
      </w:r>
    </w:p>
    <w:p w:rsidR="00227FEF" w:rsidRDefault="00494B9D" w:rsidP="000235D3">
      <w:pPr>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Високий ступінь ландшафтної мозаїчності та інсоляції схилів південної експозиції сприяє розвитку цілорічного відпочинку. Громада володіє багатими лісовими масивами та екологічно чистими водними артеріями, а наявність мінеральних джерел створює базу для розвитку лікувально-оздоровчої рекреації.</w:t>
      </w:r>
    </w:p>
    <w:p w:rsidR="00227FEF" w:rsidRDefault="00494B9D" w:rsidP="001A0378">
      <w:pPr>
        <w:ind w:firstLine="708"/>
        <w:jc w:val="both"/>
        <w:rPr>
          <w:rFonts w:ascii="Times New Roman" w:eastAsia="Times New Roman" w:hAnsi="Times New Roman"/>
          <w:b/>
          <w:bCs/>
          <w:sz w:val="28"/>
          <w:szCs w:val="28"/>
          <w:lang w:val="uk-UA" w:eastAsia="ru-RU"/>
        </w:rPr>
      </w:pPr>
      <w:r>
        <w:rPr>
          <w:rFonts w:ascii="Times New Roman" w:eastAsia="Times New Roman" w:hAnsi="Times New Roman"/>
          <w:b/>
          <w:sz w:val="28"/>
          <w:szCs w:val="28"/>
          <w:lang w:val="uk-UA" w:eastAsia="ru-RU"/>
        </w:rPr>
        <w:t>2.</w:t>
      </w:r>
      <w:r>
        <w:rPr>
          <w:rFonts w:ascii="Times New Roman" w:eastAsia="Times New Roman" w:hAnsi="Times New Roman"/>
          <w:sz w:val="28"/>
          <w:szCs w:val="28"/>
          <w:lang w:val="uk-UA" w:eastAsia="ru-RU"/>
        </w:rPr>
        <w:t xml:space="preserve"> </w:t>
      </w:r>
      <w:r>
        <w:rPr>
          <w:rFonts w:ascii="Times New Roman" w:eastAsia="Times New Roman" w:hAnsi="Times New Roman"/>
          <w:b/>
          <w:bCs/>
          <w:sz w:val="28"/>
          <w:szCs w:val="28"/>
          <w:lang w:val="uk-UA" w:eastAsia="ru-RU"/>
        </w:rPr>
        <w:t xml:space="preserve">Туристична та гастрономічна автентика. </w:t>
      </w:r>
    </w:p>
    <w:p w:rsidR="00227FEF" w:rsidRPr="005E48D4" w:rsidRDefault="00494B9D" w:rsidP="000235D3">
      <w:pPr>
        <w:ind w:firstLine="708"/>
        <w:jc w:val="both"/>
        <w:rPr>
          <w:lang w:val="uk-UA"/>
        </w:rPr>
      </w:pPr>
      <w:r>
        <w:rPr>
          <w:rFonts w:ascii="Times New Roman" w:eastAsia="Times New Roman" w:hAnsi="Times New Roman"/>
          <w:sz w:val="28"/>
          <w:szCs w:val="28"/>
          <w:lang w:val="uk-UA" w:eastAsia="ru-RU"/>
        </w:rPr>
        <w:t xml:space="preserve">Для Тур’є-Реметівської громади </w:t>
      </w:r>
      <w:r>
        <w:rPr>
          <w:rFonts w:ascii="Times New Roman" w:eastAsia="Times New Roman" w:hAnsi="Times New Roman"/>
          <w:bCs/>
          <w:sz w:val="28"/>
          <w:szCs w:val="28"/>
          <w:lang w:val="uk-UA" w:eastAsia="ru-RU"/>
        </w:rPr>
        <w:t>туристично-гастрономічна автентика</w:t>
      </w:r>
      <w:r>
        <w:rPr>
          <w:rFonts w:ascii="Times New Roman" w:eastAsia="Times New Roman" w:hAnsi="Times New Roman"/>
          <w:sz w:val="28"/>
          <w:szCs w:val="28"/>
          <w:lang w:val="uk-UA" w:eastAsia="ru-RU"/>
        </w:rPr>
        <w:t xml:space="preserve"> є не просто доповненням до економіки, а її унікальним «обличчям», яке виділяє ОТГ. Це її </w:t>
      </w:r>
      <w:r>
        <w:rPr>
          <w:rFonts w:ascii="Times New Roman" w:eastAsia="Times New Roman" w:hAnsi="Times New Roman"/>
          <w:bCs/>
          <w:sz w:val="28"/>
          <w:szCs w:val="28"/>
          <w:lang w:val="uk-UA" w:eastAsia="ru-RU"/>
        </w:rPr>
        <w:t>нематеріальний актив</w:t>
      </w:r>
      <w:r>
        <w:rPr>
          <w:rFonts w:ascii="Times New Roman" w:eastAsia="Times New Roman" w:hAnsi="Times New Roman"/>
          <w:sz w:val="28"/>
          <w:szCs w:val="28"/>
          <w:lang w:val="uk-UA" w:eastAsia="ru-RU"/>
        </w:rPr>
        <w:t>, який при правильному управлінні може приносити доходи не завдаючи шкоди екології. Так, найбільш пізнаванним брендом громади є г</w:t>
      </w:r>
      <w:r>
        <w:rPr>
          <w:rFonts w:ascii="Times New Roman" w:eastAsia="Times New Roman" w:hAnsi="Times New Roman"/>
          <w:bCs/>
          <w:sz w:val="28"/>
          <w:szCs w:val="28"/>
          <w:lang w:val="uk-UA" w:eastAsia="ru-RU"/>
        </w:rPr>
        <w:t>астрономічний феномен «Турянських жаб» (с. Тур’ї Ремети)</w:t>
      </w:r>
      <w:r>
        <w:rPr>
          <w:rFonts w:ascii="Times New Roman" w:eastAsia="Times New Roman" w:hAnsi="Times New Roman"/>
          <w:sz w:val="28"/>
          <w:szCs w:val="28"/>
          <w:lang w:val="uk-UA" w:eastAsia="ru-RU"/>
        </w:rPr>
        <w:t xml:space="preserve">, що має глибоке історичне коріння (традиція запозичена від французьких офіцерів). Створення гастрономічного кластеру та щорічного фестивалю навколо цієї традиції дозволяє залучати «дегустаційний» туризм, що має високий середній чек. Бальнеологія може розвиватися на основі </w:t>
      </w:r>
      <w:r>
        <w:rPr>
          <w:rFonts w:ascii="Times New Roman" w:eastAsia="Times New Roman" w:hAnsi="Times New Roman"/>
          <w:bCs/>
          <w:sz w:val="28"/>
          <w:szCs w:val="28"/>
          <w:lang w:val="uk-UA" w:eastAsia="ru-RU"/>
        </w:rPr>
        <w:t>«Лумшорських чан»</w:t>
      </w:r>
      <w:r>
        <w:rPr>
          <w:rFonts w:ascii="Times New Roman" w:eastAsia="Times New Roman" w:hAnsi="Times New Roman"/>
          <w:sz w:val="28"/>
          <w:szCs w:val="28"/>
          <w:lang w:val="uk-UA" w:eastAsia="ru-RU"/>
        </w:rPr>
        <w:t>. Село Лумшори є колискою закарпатського оздоровлення у чанах із мінеральною сірководневою водою, історія якого сягає XVII століття. На відміну від сучасних СПА-комплексів, тут збережено ритуал купання у відкритих чанах на березі гірської річки, що створює ефект контрастотерапії. Це забезпечує громаді стабільний потік відвідувачів навіть у міжсезоння, коли попит на звичайні гірські прогулянки падає.</w:t>
      </w:r>
    </w:p>
    <w:p w:rsidR="00227FEF" w:rsidRPr="005E48D4" w:rsidRDefault="00494B9D" w:rsidP="000235D3">
      <w:pPr>
        <w:ind w:firstLine="708"/>
        <w:jc w:val="both"/>
        <w:rPr>
          <w:lang w:val="ru-RU"/>
        </w:rPr>
      </w:pPr>
      <w:r>
        <w:rPr>
          <w:rFonts w:ascii="Times New Roman" w:eastAsia="Times New Roman" w:hAnsi="Times New Roman"/>
          <w:sz w:val="28"/>
          <w:szCs w:val="28"/>
          <w:lang w:val="uk-UA" w:eastAsia="ru-RU"/>
        </w:rPr>
        <w:t>Розвиток е</w:t>
      </w:r>
      <w:r>
        <w:rPr>
          <w:rFonts w:ascii="Times New Roman" w:eastAsia="Times New Roman" w:hAnsi="Times New Roman"/>
          <w:bCs/>
          <w:sz w:val="28"/>
          <w:szCs w:val="28"/>
          <w:lang w:val="uk-UA" w:eastAsia="ru-RU"/>
        </w:rPr>
        <w:t>тнокультурний бренду на основі постаті Федіра Фекета (Посол із Тур’їх Ремет)</w:t>
      </w:r>
      <w:r>
        <w:rPr>
          <w:rFonts w:ascii="Times New Roman" w:eastAsia="Times New Roman" w:hAnsi="Times New Roman"/>
          <w:sz w:val="28"/>
          <w:szCs w:val="28"/>
          <w:lang w:val="uk-UA" w:eastAsia="ru-RU"/>
        </w:rPr>
        <w:t xml:space="preserve"> – листоноші, який щодня долав пішки десятки кілометрів до Ужгорода, є основою для розвитку подієвого та історичного туризму. Тут є єдиний у світі пам’ятник листоноші та розроблені тематичні маршрути («Шляхами Федора Фекети») дозволяють розвивати активний туризм (скандинавська ходьба, трекінг). Це формує імідж громади як місця працьовитих та витривалих людей, що важливо для територіального маркетингу. </w:t>
      </w:r>
    </w:p>
    <w:p w:rsidR="00227FEF" w:rsidRPr="005E48D4" w:rsidRDefault="00494B9D" w:rsidP="000235D3">
      <w:pPr>
        <w:ind w:firstLine="708"/>
        <w:jc w:val="both"/>
        <w:rPr>
          <w:lang w:val="ru-RU"/>
        </w:rPr>
      </w:pPr>
      <w:r>
        <w:rPr>
          <w:rFonts w:ascii="Times New Roman" w:eastAsia="Times New Roman" w:hAnsi="Times New Roman"/>
          <w:sz w:val="28"/>
          <w:szCs w:val="28"/>
          <w:lang w:val="uk-UA" w:eastAsia="ru-RU"/>
        </w:rPr>
        <w:t>Громада має сприятливі умови для вирощування специфічних культур, зокрема особливого сорту часнику (чесниці) та збору дикорослих ягід і грибів</w:t>
      </w:r>
      <w:r>
        <w:rPr>
          <w:rFonts w:ascii="Times New Roman" w:eastAsia="Times New Roman" w:hAnsi="Times New Roman"/>
          <w:b/>
          <w:bCs/>
          <w:sz w:val="28"/>
          <w:szCs w:val="28"/>
          <w:lang w:val="uk-UA" w:eastAsia="ru-RU"/>
        </w:rPr>
        <w:t xml:space="preserve"> </w:t>
      </w:r>
      <w:r>
        <w:rPr>
          <w:rFonts w:ascii="Times New Roman" w:eastAsia="Times New Roman" w:hAnsi="Times New Roman"/>
          <w:bCs/>
          <w:sz w:val="28"/>
          <w:szCs w:val="28"/>
          <w:lang w:val="uk-UA" w:eastAsia="ru-RU"/>
        </w:rPr>
        <w:t>(крафтове виробництво та «Турянський чесник»</w:t>
      </w:r>
      <w:r>
        <w:rPr>
          <w:rFonts w:ascii="Times New Roman" w:eastAsia="Times New Roman" w:hAnsi="Times New Roman"/>
          <w:sz w:val="28"/>
          <w:szCs w:val="28"/>
          <w:lang w:val="uk-UA" w:eastAsia="ru-RU"/>
        </w:rPr>
        <w:t xml:space="preserve">). Створення малих переробних </w:t>
      </w:r>
      <w:r>
        <w:rPr>
          <w:rFonts w:ascii="Times New Roman" w:eastAsia="Times New Roman" w:hAnsi="Times New Roman"/>
          <w:sz w:val="28"/>
          <w:szCs w:val="28"/>
          <w:lang w:val="uk-UA" w:eastAsia="ru-RU"/>
        </w:rPr>
        <w:lastRenderedPageBreak/>
        <w:t xml:space="preserve">цехів (сироварні, цехи з консервації грибів та ягід) дозволяє забезпечувати додану вартість безпосередньо в селах, не вивозячи сировину. А також можливість відвідування приватних господарств для дегустації домашніх сирів та настоянок є основою для «зелених садиб». Гастрономія та етнографія тут нерозривно пов’язані з ландшафтом. Маршрут до водоспаду Воєводин через форелеві господарства створює цілісний туристичний продукт: </w:t>
      </w:r>
      <w:r>
        <w:rPr>
          <w:rFonts w:ascii="Times New Roman" w:eastAsia="Times New Roman" w:hAnsi="Times New Roman"/>
          <w:iCs/>
          <w:sz w:val="28"/>
          <w:szCs w:val="28"/>
          <w:lang w:val="uk-UA" w:eastAsia="ru-RU"/>
        </w:rPr>
        <w:t>«активний відпочинок + локальна їжа»</w:t>
      </w:r>
      <w:r>
        <w:rPr>
          <w:rFonts w:ascii="Times New Roman" w:eastAsia="Times New Roman" w:hAnsi="Times New Roman"/>
          <w:sz w:val="28"/>
          <w:szCs w:val="28"/>
          <w:lang w:val="uk-UA" w:eastAsia="ru-RU"/>
        </w:rPr>
        <w:t>.</w:t>
      </w:r>
      <w:r>
        <w:rPr>
          <w:rFonts w:ascii="Times New Roman" w:eastAsia="Times New Roman" w:hAnsi="Times New Roman"/>
          <w:b/>
          <w:bCs/>
          <w:sz w:val="28"/>
          <w:szCs w:val="28"/>
          <w:lang w:val="uk-UA" w:eastAsia="ru-RU"/>
        </w:rPr>
        <w:t xml:space="preserve"> </w:t>
      </w:r>
    </w:p>
    <w:p w:rsidR="00227FEF" w:rsidRPr="00AC1C09" w:rsidRDefault="00494B9D" w:rsidP="001A0378">
      <w:pPr>
        <w:ind w:firstLine="708"/>
        <w:jc w:val="both"/>
        <w:rPr>
          <w:lang w:val="uk-UA"/>
        </w:rPr>
      </w:pPr>
      <w:r>
        <w:rPr>
          <w:rFonts w:ascii="Times New Roman" w:eastAsia="Times New Roman" w:hAnsi="Times New Roman"/>
          <w:b/>
          <w:bCs/>
          <w:sz w:val="28"/>
          <w:szCs w:val="28"/>
          <w:lang w:val="uk-UA" w:eastAsia="ru-RU"/>
        </w:rPr>
        <w:t xml:space="preserve">3. Вигідне логістичне розташування. </w:t>
      </w:r>
      <w:r>
        <w:rPr>
          <w:rFonts w:ascii="Times New Roman" w:eastAsia="Times New Roman" w:hAnsi="Times New Roman"/>
          <w:sz w:val="28"/>
          <w:szCs w:val="28"/>
          <w:lang w:val="uk-UA" w:eastAsia="ru-RU"/>
        </w:rPr>
        <w:t xml:space="preserve">Для </w:t>
      </w:r>
      <w:r>
        <w:rPr>
          <w:rFonts w:ascii="Times New Roman" w:eastAsia="Times New Roman" w:hAnsi="Times New Roman"/>
          <w:bCs/>
          <w:sz w:val="28"/>
          <w:szCs w:val="28"/>
          <w:lang w:val="uk-UA" w:eastAsia="ru-RU"/>
        </w:rPr>
        <w:t>Тур’є-Реметівської громади</w:t>
      </w:r>
      <w:r>
        <w:rPr>
          <w:rFonts w:ascii="Times New Roman" w:eastAsia="Times New Roman" w:hAnsi="Times New Roman"/>
          <w:sz w:val="28"/>
          <w:szCs w:val="28"/>
          <w:lang w:val="uk-UA" w:eastAsia="ru-RU"/>
        </w:rPr>
        <w:t xml:space="preserve"> логістичне розташування є стратегічним активом, який дозволяє їй виступати «містком» між адміністративним центром області та гірськими рекреаційними зонами, а також інтегруватися в європейський економічний простір, забезпечує легкий доступ до ринків збуту та потенційних іноземних партнерів. Громада розташована у безпосередній близькості до м. Ужгород (відстань від центру громади </w:t>
      </w:r>
      <w:r>
        <w:rPr>
          <w:rFonts w:ascii="Symbol" w:eastAsia="Symbol" w:hAnsi="Symbol" w:cs="Symbol"/>
          <w:sz w:val="28"/>
          <w:szCs w:val="28"/>
          <w:lang w:val="uk-UA" w:eastAsia="ru-RU"/>
        </w:rPr>
        <w:sym w:font="Symbol" w:char="F02D"/>
      </w:r>
      <w:r>
        <w:rPr>
          <w:rFonts w:ascii="Times New Roman" w:eastAsia="Times New Roman" w:hAnsi="Times New Roman"/>
          <w:sz w:val="28"/>
          <w:szCs w:val="28"/>
          <w:lang w:val="uk-UA" w:eastAsia="ru-RU"/>
        </w:rPr>
        <w:t xml:space="preserve"> близько 25–30 км). Це забезпечує постійний маятниковий рух (трудовий та споживчий). Для інвесторів це означає доступ до кваліфікованого управлінського персоналу та наукової бази обласного центру, а для місцевих виробників </w:t>
      </w:r>
      <w:r>
        <w:rPr>
          <w:rFonts w:ascii="Symbol" w:eastAsia="Symbol" w:hAnsi="Symbol" w:cs="Symbol"/>
          <w:sz w:val="28"/>
          <w:szCs w:val="28"/>
          <w:lang w:val="uk-UA" w:eastAsia="ru-RU"/>
        </w:rPr>
        <w:sym w:font="Symbol" w:char="F02D"/>
      </w:r>
      <w:r>
        <w:rPr>
          <w:rFonts w:ascii="Times New Roman" w:eastAsia="Times New Roman" w:hAnsi="Times New Roman"/>
          <w:sz w:val="28"/>
          <w:szCs w:val="28"/>
          <w:lang w:val="uk-UA" w:eastAsia="ru-RU"/>
        </w:rPr>
        <w:t xml:space="preserve"> швидкий доступ до великого ринку збуту продукції (ринків та супермаркетів тощо). Тур’є-Реметівська ОТГ знаходиться у радіусі 40 – 60 км від ключових пунктів пропуску на кордоні з </w:t>
      </w:r>
      <w:r>
        <w:rPr>
          <w:rFonts w:ascii="Times New Roman" w:eastAsia="Times New Roman" w:hAnsi="Times New Roman"/>
          <w:bCs/>
          <w:sz w:val="28"/>
          <w:szCs w:val="28"/>
          <w:lang w:val="uk-UA" w:eastAsia="ru-RU"/>
        </w:rPr>
        <w:t>Словаччиною</w:t>
      </w:r>
      <w:r>
        <w:rPr>
          <w:rFonts w:ascii="Times New Roman" w:eastAsia="Times New Roman" w:hAnsi="Times New Roman"/>
          <w:sz w:val="28"/>
          <w:szCs w:val="28"/>
          <w:lang w:val="uk-UA" w:eastAsia="ru-RU"/>
        </w:rPr>
        <w:t xml:space="preserve"> (Ужгород </w:t>
      </w:r>
      <w:r>
        <w:rPr>
          <w:rFonts w:ascii="Symbol" w:eastAsia="Symbol" w:hAnsi="Symbol" w:cs="Symbol"/>
          <w:sz w:val="28"/>
          <w:szCs w:val="28"/>
          <w:lang w:val="uk-UA" w:eastAsia="ru-RU"/>
        </w:rPr>
        <w:sym w:font="Symbol" w:char="F02D"/>
      </w:r>
      <w:r>
        <w:rPr>
          <w:rFonts w:ascii="Times New Roman" w:eastAsia="Times New Roman" w:hAnsi="Times New Roman"/>
          <w:sz w:val="28"/>
          <w:szCs w:val="28"/>
          <w:lang w:val="uk-UA" w:eastAsia="ru-RU"/>
        </w:rPr>
        <w:t xml:space="preserve"> Вишнє Нємецке) та </w:t>
      </w:r>
      <w:r>
        <w:rPr>
          <w:rFonts w:ascii="Times New Roman" w:eastAsia="Times New Roman" w:hAnsi="Times New Roman"/>
          <w:bCs/>
          <w:sz w:val="28"/>
          <w:szCs w:val="28"/>
          <w:lang w:val="uk-UA" w:eastAsia="ru-RU"/>
        </w:rPr>
        <w:t>Угорщиною</w:t>
      </w:r>
      <w:r>
        <w:rPr>
          <w:rFonts w:ascii="Times New Roman" w:eastAsia="Times New Roman" w:hAnsi="Times New Roman"/>
          <w:sz w:val="28"/>
          <w:szCs w:val="28"/>
          <w:lang w:val="uk-UA" w:eastAsia="ru-RU"/>
        </w:rPr>
        <w:t xml:space="preserve"> (Чоп </w:t>
      </w:r>
      <w:r>
        <w:rPr>
          <w:rFonts w:ascii="Symbol" w:eastAsia="Symbol" w:hAnsi="Symbol" w:cs="Symbol"/>
          <w:sz w:val="28"/>
          <w:szCs w:val="28"/>
          <w:lang w:val="uk-UA" w:eastAsia="ru-RU"/>
        </w:rPr>
        <w:sym w:font="Symbol" w:char="F02D"/>
      </w:r>
      <w:r>
        <w:rPr>
          <w:rFonts w:ascii="Times New Roman" w:eastAsia="Times New Roman" w:hAnsi="Times New Roman"/>
          <w:sz w:val="28"/>
          <w:szCs w:val="28"/>
          <w:lang w:val="uk-UA" w:eastAsia="ru-RU"/>
        </w:rPr>
        <w:t xml:space="preserve"> Захонь). Це робить громаду привабливою для створення експортно-орієнтованих підприємств (наприклад, переробка деревини або крафтових продуктів), оскільки витрати на транспортування товарів до європейських споживачів є мінімальними.</w:t>
      </w:r>
    </w:p>
    <w:p w:rsidR="00227FEF" w:rsidRPr="005E48D4" w:rsidRDefault="00494B9D" w:rsidP="000235D3">
      <w:pPr>
        <w:ind w:firstLine="708"/>
        <w:jc w:val="both"/>
        <w:rPr>
          <w:lang w:val="uk-UA"/>
        </w:rPr>
      </w:pPr>
      <w:r>
        <w:rPr>
          <w:rFonts w:ascii="Times New Roman" w:eastAsia="Times New Roman" w:hAnsi="Times New Roman"/>
          <w:sz w:val="28"/>
          <w:szCs w:val="28"/>
          <w:lang w:val="uk-UA" w:eastAsia="ru-RU"/>
        </w:rPr>
        <w:t xml:space="preserve">Громада розташована на важливому територіальному автошляху, який з’єднує дві магістральні траси міжнародного та національного значення: </w:t>
      </w:r>
      <w:r>
        <w:rPr>
          <w:rFonts w:ascii="Times New Roman" w:eastAsia="Times New Roman" w:hAnsi="Times New Roman"/>
          <w:bCs/>
          <w:sz w:val="28"/>
          <w:szCs w:val="28"/>
          <w:lang w:val="uk-UA" w:eastAsia="ru-RU"/>
        </w:rPr>
        <w:t>М06</w:t>
      </w:r>
      <w:r>
        <w:rPr>
          <w:rFonts w:ascii="Times New Roman" w:eastAsia="Times New Roman" w:hAnsi="Times New Roman"/>
          <w:sz w:val="28"/>
          <w:szCs w:val="28"/>
          <w:lang w:val="uk-UA" w:eastAsia="ru-RU"/>
        </w:rPr>
        <w:t xml:space="preserve"> (Київ </w:t>
      </w:r>
      <w:r>
        <w:rPr>
          <w:rFonts w:ascii="Symbol" w:eastAsia="Symbol" w:hAnsi="Symbol" w:cs="Symbol"/>
          <w:sz w:val="28"/>
          <w:szCs w:val="28"/>
          <w:lang w:val="uk-UA" w:eastAsia="ru-RU"/>
        </w:rPr>
        <w:sym w:font="Symbol" w:char="F02D"/>
      </w:r>
      <w:r>
        <w:rPr>
          <w:rFonts w:ascii="Times New Roman" w:eastAsia="Times New Roman" w:hAnsi="Times New Roman"/>
          <w:sz w:val="28"/>
          <w:szCs w:val="28"/>
          <w:lang w:val="uk-UA" w:eastAsia="ru-RU"/>
        </w:rPr>
        <w:t xml:space="preserve"> Чоп) та </w:t>
      </w:r>
      <w:r>
        <w:rPr>
          <w:rFonts w:ascii="Times New Roman" w:eastAsia="Times New Roman" w:hAnsi="Times New Roman"/>
          <w:bCs/>
          <w:sz w:val="28"/>
          <w:szCs w:val="28"/>
          <w:lang w:val="uk-UA" w:eastAsia="ru-RU"/>
        </w:rPr>
        <w:t>Н13</w:t>
      </w:r>
      <w:r>
        <w:rPr>
          <w:rFonts w:ascii="Times New Roman" w:eastAsia="Times New Roman" w:hAnsi="Times New Roman"/>
          <w:sz w:val="28"/>
          <w:szCs w:val="28"/>
          <w:lang w:val="uk-UA" w:eastAsia="ru-RU"/>
        </w:rPr>
        <w:t xml:space="preserve"> (Львів </w:t>
      </w:r>
      <w:r>
        <w:rPr>
          <w:rFonts w:ascii="Symbol" w:eastAsia="Symbol" w:hAnsi="Symbol" w:cs="Symbol"/>
          <w:sz w:val="28"/>
          <w:szCs w:val="28"/>
          <w:lang w:val="uk-UA" w:eastAsia="ru-RU"/>
        </w:rPr>
        <w:sym w:font="Symbol" w:char="F02D"/>
      </w:r>
      <w:r>
        <w:rPr>
          <w:rFonts w:ascii="Times New Roman" w:eastAsia="Times New Roman" w:hAnsi="Times New Roman"/>
          <w:sz w:val="28"/>
          <w:szCs w:val="28"/>
          <w:lang w:val="uk-UA" w:eastAsia="ru-RU"/>
        </w:rPr>
        <w:t xml:space="preserve"> Самбір </w:t>
      </w:r>
      <w:r>
        <w:rPr>
          <w:rFonts w:ascii="Symbol" w:eastAsia="Symbol" w:hAnsi="Symbol" w:cs="Symbol"/>
          <w:sz w:val="28"/>
          <w:szCs w:val="28"/>
          <w:lang w:val="uk-UA" w:eastAsia="ru-RU"/>
        </w:rPr>
        <w:sym w:font="Symbol" w:char="F02D"/>
      </w:r>
      <w:r>
        <w:rPr>
          <w:rFonts w:ascii="Times New Roman" w:eastAsia="Times New Roman" w:hAnsi="Times New Roman"/>
          <w:sz w:val="28"/>
          <w:szCs w:val="28"/>
          <w:lang w:val="uk-UA" w:eastAsia="ru-RU"/>
        </w:rPr>
        <w:t xml:space="preserve"> Ужгород). Таке транзитне положення дозволяє перехоплювати туристичні потоки, що рухаються з боку Сваляви (курорти Поляна, Солочин) у бік Перечина та Ужгорода. Це створює ідеальні умови для придорожнього сервісу, закладів харчування та рекреаційних пунктів зупинки. А також т</w:t>
      </w:r>
      <w:r>
        <w:rPr>
          <w:rFonts w:ascii="Times New Roman" w:eastAsia="Times New Roman" w:hAnsi="Times New Roman"/>
          <w:bCs/>
          <w:sz w:val="28"/>
          <w:szCs w:val="28"/>
          <w:lang w:val="uk-UA" w:eastAsia="ru-RU"/>
        </w:rPr>
        <w:t>ериторія громади – це інфраструктурний «тил» для енергетичних проєктів</w:t>
      </w:r>
      <w:r>
        <w:rPr>
          <w:rFonts w:ascii="Times New Roman" w:eastAsia="Times New Roman" w:hAnsi="Times New Roman"/>
          <w:sz w:val="28"/>
          <w:szCs w:val="28"/>
          <w:lang w:val="uk-UA" w:eastAsia="ru-RU"/>
        </w:rPr>
        <w:t>, оскільки логістичне розташування дозволяє здійснювати доставку великогабаритного обладнання для вітропарків з мінімальними логістичними колізіями через основні транспортні вузли області. Наявність залізничної станції у сусідньому Перечині (менше 10 км від межі громади) підсилює цей потенціал для перевалки вантажів.</w:t>
      </w:r>
    </w:p>
    <w:p w:rsidR="00227FEF" w:rsidRPr="005E48D4" w:rsidRDefault="00494B9D">
      <w:pPr>
        <w:jc w:val="both"/>
        <w:rPr>
          <w:lang w:val="ru-RU"/>
        </w:rPr>
      </w:pPr>
      <w:r>
        <w:rPr>
          <w:rFonts w:ascii="Times New Roman" w:eastAsia="Times New Roman" w:hAnsi="Times New Roman"/>
          <w:sz w:val="28"/>
          <w:szCs w:val="28"/>
          <w:lang w:val="uk-UA" w:eastAsia="ru-RU"/>
        </w:rPr>
        <w:t xml:space="preserve">Завдяки рельєфу та розташуванню між двома долинами, громада є вузлом для мережі екологічних стежок. Логістика тут розглядається не лише як автомобільна, а й як рекреаційна </w:t>
      </w:r>
      <w:r>
        <w:rPr>
          <w:rFonts w:ascii="Symbol" w:eastAsia="Symbol" w:hAnsi="Symbol" w:cs="Symbol"/>
          <w:sz w:val="28"/>
          <w:szCs w:val="28"/>
          <w:lang w:val="uk-UA" w:eastAsia="ru-RU"/>
        </w:rPr>
        <w:sym w:font="Symbol" w:char="F02D"/>
      </w:r>
      <w:r>
        <w:rPr>
          <w:rFonts w:ascii="Times New Roman" w:eastAsia="Times New Roman" w:hAnsi="Times New Roman"/>
          <w:sz w:val="28"/>
          <w:szCs w:val="28"/>
          <w:lang w:val="uk-UA" w:eastAsia="ru-RU"/>
        </w:rPr>
        <w:t xml:space="preserve"> можливість об’єднання туристичних локацій (Лумшори </w:t>
      </w:r>
      <w:r>
        <w:rPr>
          <w:rFonts w:ascii="Symbol" w:eastAsia="Symbol" w:hAnsi="Symbol" w:cs="Symbol"/>
          <w:sz w:val="28"/>
          <w:szCs w:val="28"/>
          <w:lang w:val="uk-UA" w:eastAsia="ru-RU"/>
        </w:rPr>
        <w:sym w:font="Symbol" w:char="F02D"/>
      </w:r>
      <w:r>
        <w:rPr>
          <w:rFonts w:ascii="Times New Roman" w:eastAsia="Times New Roman" w:hAnsi="Times New Roman"/>
          <w:sz w:val="28"/>
          <w:szCs w:val="28"/>
          <w:lang w:val="uk-UA" w:eastAsia="ru-RU"/>
        </w:rPr>
        <w:t xml:space="preserve"> Воєводин </w:t>
      </w:r>
      <w:r>
        <w:rPr>
          <w:rFonts w:ascii="Symbol" w:eastAsia="Symbol" w:hAnsi="Symbol" w:cs="Symbol"/>
          <w:sz w:val="28"/>
          <w:szCs w:val="28"/>
          <w:lang w:val="uk-UA" w:eastAsia="ru-RU"/>
        </w:rPr>
        <w:sym w:font="Symbol" w:char="F02D"/>
      </w:r>
      <w:r>
        <w:rPr>
          <w:rFonts w:ascii="Times New Roman" w:eastAsia="Times New Roman" w:hAnsi="Times New Roman"/>
          <w:sz w:val="28"/>
          <w:szCs w:val="28"/>
          <w:lang w:val="uk-UA" w:eastAsia="ru-RU"/>
        </w:rPr>
        <w:t xml:space="preserve"> Полонина Руна) у єдине кільце.</w:t>
      </w:r>
    </w:p>
    <w:p w:rsidR="00227FEF" w:rsidRDefault="00494B9D" w:rsidP="001A0378">
      <w:pPr>
        <w:ind w:firstLine="567"/>
        <w:jc w:val="both"/>
      </w:pPr>
      <w:r>
        <w:rPr>
          <w:rFonts w:ascii="Times New Roman" w:eastAsia="Times New Roman" w:hAnsi="Times New Roman"/>
          <w:b/>
          <w:sz w:val="28"/>
          <w:szCs w:val="28"/>
          <w:lang w:val="uk-UA" w:eastAsia="ru-RU"/>
        </w:rPr>
        <w:t>4.</w:t>
      </w:r>
      <w:r>
        <w:rPr>
          <w:rFonts w:ascii="Times New Roman" w:eastAsia="Times New Roman" w:hAnsi="Times New Roman"/>
          <w:sz w:val="28"/>
          <w:szCs w:val="28"/>
          <w:lang w:val="uk-UA" w:eastAsia="ru-RU"/>
        </w:rPr>
        <w:t xml:space="preserve"> </w:t>
      </w:r>
      <w:r>
        <w:rPr>
          <w:rFonts w:ascii="Times New Roman" w:eastAsia="Times New Roman" w:hAnsi="Times New Roman"/>
          <w:b/>
          <w:bCs/>
          <w:sz w:val="28"/>
          <w:szCs w:val="28"/>
          <w:lang w:val="uk-UA" w:eastAsia="ru-RU"/>
        </w:rPr>
        <w:t xml:space="preserve">Історико-культурний капітал </w:t>
      </w:r>
      <w:r>
        <w:rPr>
          <w:rFonts w:ascii="Times New Roman" w:eastAsia="Times New Roman" w:hAnsi="Times New Roman"/>
          <w:bCs/>
          <w:sz w:val="28"/>
          <w:szCs w:val="28"/>
          <w:lang w:val="uk-UA" w:eastAsia="ru-RU"/>
        </w:rPr>
        <w:t>Тур’є-Реметівської територіальної громади</w:t>
      </w:r>
      <w:r>
        <w:rPr>
          <w:rFonts w:ascii="Times New Roman" w:eastAsia="Times New Roman" w:hAnsi="Times New Roman"/>
          <w:sz w:val="28"/>
          <w:szCs w:val="28"/>
          <w:lang w:val="uk-UA" w:eastAsia="ru-RU"/>
        </w:rPr>
        <w:t xml:space="preserve"> є унікальним пластом, який поєднує загальноєвропейський контекст (Австро-Угорська спадщина) з автентичними карпатськими традиціями. Це не просто «пам’ятки», а дієвий ресурс для територіального маркетингу. Тур’є-Реметівська громада має багату історико-культурну спадщину, пов’язану з її промисловим </w:t>
      </w:r>
      <w:r>
        <w:rPr>
          <w:rFonts w:ascii="Times New Roman" w:eastAsia="Times New Roman" w:hAnsi="Times New Roman"/>
          <w:sz w:val="28"/>
          <w:szCs w:val="28"/>
          <w:lang w:val="uk-UA" w:eastAsia="ru-RU"/>
        </w:rPr>
        <w:lastRenderedPageBreak/>
        <w:t>минулим, релігійними традиціями та унікальними локальними постатями. Основні пам’ятки громади:</w:t>
      </w:r>
    </w:p>
    <w:p w:rsidR="00227FEF" w:rsidRDefault="00494B9D">
      <w:pPr>
        <w:numPr>
          <w:ilvl w:val="0"/>
          <w:numId w:val="6"/>
        </w:numPr>
        <w:spacing w:after="160"/>
        <w:ind w:left="924" w:hanging="35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Церква Святого Михаїла (с. Тур’ї Ремети). Мурована базиліка XVIII століття (згадується 1616 р., оновлена у 1923 та 1990 роках). Поруч розташована цікава дерев’яна каркасна дзвіниця 1928 року.</w:t>
      </w:r>
    </w:p>
    <w:p w:rsidR="00227FEF" w:rsidRDefault="00494B9D">
      <w:pPr>
        <w:numPr>
          <w:ilvl w:val="0"/>
          <w:numId w:val="6"/>
        </w:numPr>
        <w:spacing w:after="160"/>
        <w:ind w:left="924" w:hanging="35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Пам’ятник листоноші Федору Фекеті XIX ст. (с. Тур’ї Ремети). Це унікальний барельєф на стіні церкви Святого Михаїла, встановлений у 1838 році. Це перший у світі пам’ятник поштареві, присвячений місцевому мешканцю, який щодня долав пішки десятки кілометрів до Ужгорода за поштою.</w:t>
      </w:r>
    </w:p>
    <w:p w:rsidR="00227FEF" w:rsidRDefault="00494B9D">
      <w:pPr>
        <w:numPr>
          <w:ilvl w:val="0"/>
          <w:numId w:val="6"/>
        </w:numPr>
        <w:spacing w:after="160"/>
        <w:ind w:left="924" w:hanging="35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Римо-католицький костел (1885 р.). Зведений у період розквіту села с. Тур’ї Ремети як промислового центру. </w:t>
      </w:r>
    </w:p>
    <w:p w:rsidR="00227FEF" w:rsidRDefault="00494B9D">
      <w:pPr>
        <w:numPr>
          <w:ilvl w:val="0"/>
          <w:numId w:val="6"/>
        </w:numPr>
        <w:spacing w:after="160"/>
        <w:ind w:left="924" w:hanging="35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Церква Св. Василя Великого </w:t>
      </w:r>
      <w:r>
        <w:rPr>
          <w:rFonts w:ascii="Symbol" w:eastAsia="Symbol" w:hAnsi="Symbol" w:cs="Symbol"/>
          <w:sz w:val="28"/>
          <w:szCs w:val="28"/>
          <w:lang w:val="uk-UA" w:eastAsia="ru-RU"/>
        </w:rPr>
        <w:sym w:font="Symbol" w:char="F02D"/>
      </w:r>
      <w:r>
        <w:rPr>
          <w:rFonts w:ascii="Times New Roman" w:eastAsia="Times New Roman" w:hAnsi="Times New Roman"/>
          <w:sz w:val="28"/>
          <w:szCs w:val="28"/>
          <w:lang w:val="uk-UA" w:eastAsia="ru-RU"/>
        </w:rPr>
        <w:t xml:space="preserve"> єдина дерев’яна церква в межах громади. Двозрубну тридільну церкву було збудовано з ялини в XVII сторіччі триверхою, бойківського стилю, належить до пам’яток архітектури національного значення.</w:t>
      </w:r>
    </w:p>
    <w:p w:rsidR="00227FEF" w:rsidRDefault="00494B9D">
      <w:pPr>
        <w:numPr>
          <w:ilvl w:val="0"/>
          <w:numId w:val="6"/>
        </w:numPr>
        <w:spacing w:after="160"/>
        <w:ind w:left="924" w:hanging="35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Стара броварня та млин (с. Тур’ї Ремети). Двоповерхова будівля неподалік від костелу. У минулому тут варили пиво, а пізніше облаштували млин, де збереглися австрійські та чеські агрегати кінця XIX ст.</w:t>
      </w:r>
    </w:p>
    <w:p w:rsidR="00227FEF" w:rsidRDefault="00494B9D">
      <w:pPr>
        <w:numPr>
          <w:ilvl w:val="0"/>
          <w:numId w:val="6"/>
        </w:numPr>
        <w:spacing w:after="160"/>
        <w:ind w:left="924" w:hanging="35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Спадщина чавуноливарного заводу у с. Тур’ї Ремети. У XIX столітті тут працював завод, де відливали відомі скульптури Геракла та Гермеса (нині знаходяться в Ужгородському замку). У самому селі зберігся унікаль</w:t>
      </w:r>
      <w:r w:rsidR="001B0CBC">
        <w:rPr>
          <w:rFonts w:ascii="Times New Roman" w:eastAsia="Times New Roman" w:hAnsi="Times New Roman"/>
          <w:sz w:val="28"/>
          <w:szCs w:val="28"/>
          <w:lang w:val="uk-UA" w:eastAsia="ru-RU"/>
        </w:rPr>
        <w:t>ний старий міст через річку Тур’</w:t>
      </w:r>
      <w:r>
        <w:rPr>
          <w:rFonts w:ascii="Times New Roman" w:eastAsia="Times New Roman" w:hAnsi="Times New Roman"/>
          <w:sz w:val="28"/>
          <w:szCs w:val="28"/>
          <w:lang w:val="uk-UA" w:eastAsia="ru-RU"/>
        </w:rPr>
        <w:t>ю.</w:t>
      </w:r>
    </w:p>
    <w:p w:rsidR="00227FEF" w:rsidRDefault="00494B9D">
      <w:pPr>
        <w:numPr>
          <w:ilvl w:val="0"/>
          <w:numId w:val="6"/>
        </w:numPr>
        <w:spacing w:after="160"/>
        <w:ind w:left="924" w:hanging="35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Шкільний краєзнавчий музей «Історія та побут села Тур’ї Ремети», який вважається одним із кращих шкільних музеїв області.</w:t>
      </w:r>
    </w:p>
    <w:p w:rsidR="00227FEF" w:rsidRDefault="00494B9D">
      <w:pPr>
        <w:numPr>
          <w:ilvl w:val="0"/>
          <w:numId w:val="6"/>
        </w:numPr>
        <w:spacing w:after="160"/>
        <w:ind w:left="924" w:hanging="35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Археологічні пам’ятки поблизу с. Лумшори, де виявлено стоянки доби палеоліту.</w:t>
      </w:r>
    </w:p>
    <w:p w:rsidR="00227FEF" w:rsidRDefault="00494B9D">
      <w:pPr>
        <w:numPr>
          <w:ilvl w:val="0"/>
          <w:numId w:val="6"/>
        </w:numPr>
        <w:spacing w:after="160"/>
        <w:ind w:left="924" w:hanging="35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Старовинні чани (с. Лумшори). Хоча зараз це популярний вид відпочинку, перші чавунні чани для купання були вилиті на вищезгаданому заводі в Тур’їх Реметах ще у XVII-XIX ст. Один із найстаріших чанів (1600 р.) довгий час знаходився саме в Лумшорах.</w:t>
      </w:r>
    </w:p>
    <w:p w:rsidR="00227FEF" w:rsidRDefault="00494B9D">
      <w:pPr>
        <w:numPr>
          <w:ilvl w:val="0"/>
          <w:numId w:val="6"/>
        </w:numPr>
        <w:spacing w:after="160"/>
        <w:ind w:left="924" w:hanging="35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Стара Тур’янська вузькоколійка. Через територію ОТГ проходить веломаршрут, прокладений шляхом колишньої залізниці, яка використовувалася для вивезення лісу.</w:t>
      </w:r>
    </w:p>
    <w:p w:rsidR="00227FEF" w:rsidRDefault="00494B9D">
      <w:pPr>
        <w:numPr>
          <w:ilvl w:val="0"/>
          <w:numId w:val="6"/>
        </w:numPr>
        <w:spacing w:after="160"/>
        <w:ind w:left="924" w:hanging="35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Єврейське кладовище. У Тур’їх Реметах збереглося старе сільське єврейське кладовище (кіркут).</w:t>
      </w:r>
    </w:p>
    <w:p w:rsidR="00227FEF" w:rsidRDefault="00494B9D">
      <w:pPr>
        <w:numPr>
          <w:ilvl w:val="0"/>
          <w:numId w:val="6"/>
        </w:numPr>
        <w:spacing w:after="160"/>
        <w:ind w:left="924" w:hanging="35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Місце падіння метеорита. Поблизу села зафіксовано місце падіння метеорита «Тур’я Ремета» у 2001 році.</w:t>
      </w:r>
    </w:p>
    <w:p w:rsidR="00227FEF" w:rsidRDefault="00494B9D" w:rsidP="001A0378">
      <w:pPr>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lastRenderedPageBreak/>
        <w:t>Отже, громада володіє унікальним історичним прецедентом. Її розташування в історичному контексті декількох держав залишило відбиток на архітектурі та ментальності. Старовинні храми (католицькі та православні), залишки інженерних споруд (колишні залізоплавильні заводи та мануфактури) свідчать про те, що Тур’янська долина була важливим промисловим та культурним осередком. Співіснування різних конфесій та збереження діалектизмів (турянського говору) створює атмосферу гостинності, що є важливим для соціального капіталу громади. Традиційні свята, храмові празники та локальні обряди мають потенціал до трансформації у сталі туристичні продукти, що залучатимуть відвідувачів протягом усього року.  Таким чином, багатий історико-культурний потенціал Тур’є-Реметівської громади є її стратегічним фундаментом, що дозволяє не лише зберігати унікальну автентичність регіону, а й перетворювати її на потужний чинник економічного зростання та туристичної привабливості</w:t>
      </w:r>
    </w:p>
    <w:p w:rsidR="00227FEF" w:rsidRPr="005E48D4" w:rsidRDefault="00494B9D" w:rsidP="001A0378">
      <w:pPr>
        <w:ind w:firstLine="567"/>
        <w:jc w:val="both"/>
        <w:rPr>
          <w:lang w:val="ru-RU"/>
        </w:rPr>
      </w:pPr>
      <w:r>
        <w:rPr>
          <w:rFonts w:ascii="Times New Roman" w:eastAsia="Times New Roman" w:hAnsi="Times New Roman"/>
          <w:b/>
          <w:sz w:val="28"/>
          <w:szCs w:val="28"/>
          <w:lang w:val="uk-UA" w:eastAsia="ru-RU"/>
        </w:rPr>
        <w:t>5</w:t>
      </w:r>
      <w:r>
        <w:rPr>
          <w:rFonts w:ascii="Times New Roman" w:eastAsia="Times New Roman" w:hAnsi="Times New Roman"/>
          <w:sz w:val="28"/>
          <w:szCs w:val="28"/>
          <w:lang w:val="uk-UA" w:eastAsia="ru-RU"/>
        </w:rPr>
        <w:t xml:space="preserve">. </w:t>
      </w:r>
      <w:r>
        <w:rPr>
          <w:rFonts w:ascii="Times New Roman" w:eastAsia="Times New Roman" w:hAnsi="Times New Roman"/>
          <w:b/>
          <w:bCs/>
          <w:sz w:val="28"/>
          <w:szCs w:val="28"/>
          <w:lang w:val="uk-UA" w:eastAsia="ru-RU"/>
        </w:rPr>
        <w:t xml:space="preserve">Енергетичний потенціал високогір’я. </w:t>
      </w:r>
      <w:r>
        <w:rPr>
          <w:rFonts w:ascii="Times New Roman" w:eastAsia="Times New Roman" w:hAnsi="Times New Roman"/>
          <w:bCs/>
          <w:sz w:val="28"/>
          <w:szCs w:val="28"/>
          <w:lang w:val="uk-UA" w:eastAsia="ru-RU"/>
        </w:rPr>
        <w:t xml:space="preserve">Енергетичний потенціал високогір’я є стратегічним активом громади. Він дозволяє Тур’є-Реметівській ОТГ стати енергетичним хабом Закарпаття, залучити мільйонні інвестиції в інфраструктуру (дороги, мережі) та забезпечити власну енергетичну безпеку в умовах нестабільності централізованих мереж. </w:t>
      </w:r>
      <w:r>
        <w:rPr>
          <w:rFonts w:ascii="Times New Roman" w:eastAsia="Times New Roman" w:hAnsi="Times New Roman"/>
          <w:sz w:val="28"/>
          <w:szCs w:val="28"/>
          <w:lang w:val="uk-UA" w:eastAsia="ru-RU"/>
        </w:rPr>
        <w:t>Географічне положення громади на перетині вітрових коридорів (масив Полонина Руна) робить територію однією з найперспективніших для генерації «зеленої» енергії.</w:t>
      </w:r>
    </w:p>
    <w:p w:rsidR="00227FEF" w:rsidRDefault="00494B9D" w:rsidP="001B0CBC">
      <w:pPr>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Тур’є-Реметівська громада розташована в зоні активного впливу потужних повітряних мас, що проходять через Полонинський хребет. Масив Полонина Руна (висота до 1479 м н.р.м.) виступає природним «концентратором» вітру. Завдяки значним перепадам висот та відсутності природних перешкод на гребенях хребтів, тут спостерігаються високі показники середньорічної швидкості вітру (понад 7–8 м/с на висоті 100 м). Це відповідає міжнародним стандартам для промислової експлуатації вітроенергетичних установок (ВЕУ) мультимегаватного класу. Високогірні полонини громади забезпечують ламінарний (рівномірний) потік повітря з мінімальною турбулентністю, що характерна для низинних територій із забудовою. Це зменшує зношуваність обладнання вітряків та забезпечує стабільніший графік видачі потужності в енергосистему, підвищуючи коефіцієнт використання встановленої потужності (КВВП). </w:t>
      </w:r>
    </w:p>
    <w:p w:rsidR="00227FEF" w:rsidRDefault="00494B9D" w:rsidP="001B0CBC">
      <w:pPr>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Окрім вітру, високогір’я генерує значний стік поверхневих вод. Річка Тур’я та її притоки мають значне падіння русла (градієнт висот). Це створює умови для будівництва дериваційних малих ГЕС, які працюють за принципом мінімального втручання в екосистему, доповнюючи вітрову генерацію та створюючи інтегровану «зелену» енергомережу громади.</w:t>
      </w:r>
    </w:p>
    <w:p w:rsidR="00227FEF" w:rsidRDefault="00494B9D" w:rsidP="001B0CBC">
      <w:pPr>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Значною є і сонячна інсоляція на високогірних схилах, позаяк через ефект «інверсії» та меншу запиленість повітря, рівень сонячної радіації на відкритих південних схилах високогір’я вищий, ніж у долинах, де часто утримуються тумани. Розміщення гібридних сонячно-вітрових систем дозволить громаді диверсифікувати джерела відновлюваної енергії (ВДЕ). Залучення інвестицій від проєкту «Вітропарки України» саме у високогірні ділянки громади перетворює «складний» рельєф із </w:t>
      </w:r>
      <w:r>
        <w:rPr>
          <w:rFonts w:ascii="Times New Roman" w:eastAsia="Times New Roman" w:hAnsi="Times New Roman"/>
          <w:sz w:val="28"/>
          <w:szCs w:val="28"/>
          <w:lang w:val="uk-UA" w:eastAsia="ru-RU"/>
        </w:rPr>
        <w:lastRenderedPageBreak/>
        <w:t>недоліку на капітал. Високогірні пасовища (полонини), які раніше використовувалися екстенсивно, тепер стають джерелом високотехнологічної ренти (оренда землі під ВЕУ), що в рази перевищує доходи від традиційного сільського господарства.</w:t>
      </w:r>
    </w:p>
    <w:p w:rsidR="00227FEF" w:rsidRDefault="00494B9D" w:rsidP="001B0CBC">
      <w:pPr>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Отже, Тур’є-Реметівська громада володіє винятковим потенціалом відновлюваної енергетики, реалізація якого через будівництво вітропарків трансформує територію у профіцитний енерговузол. Це не лише зміцнює енергетичну незалежність ОТГ, а й перетворює її на стратегічного нетто-експортера «зеленої» електроенергії на регіональному рівні, створюючи надійне підґрунтя для сталого економічного зростання.</w:t>
      </w:r>
    </w:p>
    <w:p w:rsidR="00227FEF" w:rsidRPr="005E48D4" w:rsidRDefault="00494B9D" w:rsidP="001A0378">
      <w:pPr>
        <w:ind w:firstLine="708"/>
        <w:jc w:val="both"/>
        <w:rPr>
          <w:lang w:val="uk-UA"/>
        </w:rPr>
      </w:pPr>
      <w:r>
        <w:rPr>
          <w:rFonts w:ascii="Times New Roman" w:eastAsia="Times New Roman" w:hAnsi="Times New Roman"/>
          <w:b/>
          <w:sz w:val="28"/>
          <w:szCs w:val="28"/>
          <w:lang w:val="uk-UA" w:eastAsia="ru-RU"/>
        </w:rPr>
        <w:t>6.</w:t>
      </w:r>
      <w:r>
        <w:rPr>
          <w:rFonts w:ascii="Times New Roman" w:eastAsia="Times New Roman" w:hAnsi="Times New Roman"/>
          <w:sz w:val="28"/>
          <w:szCs w:val="28"/>
          <w:lang w:val="uk-UA" w:eastAsia="ru-RU"/>
        </w:rPr>
        <w:t xml:space="preserve"> </w:t>
      </w:r>
      <w:r>
        <w:rPr>
          <w:rFonts w:ascii="Times New Roman" w:eastAsia="Times New Roman" w:hAnsi="Times New Roman"/>
          <w:b/>
          <w:bCs/>
          <w:sz w:val="28"/>
          <w:szCs w:val="28"/>
          <w:lang w:val="uk-UA" w:eastAsia="ru-RU"/>
        </w:rPr>
        <w:t>Фінансова вигода від інвестиційних проєктів.</w:t>
      </w:r>
      <w:r>
        <w:rPr>
          <w:rFonts w:ascii="Times New Roman" w:eastAsia="Times New Roman" w:hAnsi="Times New Roman"/>
          <w:sz w:val="28"/>
          <w:szCs w:val="28"/>
          <w:lang w:val="uk-UA" w:eastAsia="ru-RU"/>
        </w:rPr>
        <w:t xml:space="preserve"> Для </w:t>
      </w:r>
      <w:r>
        <w:rPr>
          <w:rFonts w:ascii="Times New Roman" w:eastAsia="Times New Roman" w:hAnsi="Times New Roman"/>
          <w:bCs/>
          <w:sz w:val="28"/>
          <w:szCs w:val="28"/>
          <w:lang w:val="uk-UA" w:eastAsia="ru-RU"/>
        </w:rPr>
        <w:t>Тур’є-Реметівської громади</w:t>
      </w:r>
      <w:r>
        <w:rPr>
          <w:rFonts w:ascii="Times New Roman" w:eastAsia="Times New Roman" w:hAnsi="Times New Roman"/>
          <w:sz w:val="28"/>
          <w:szCs w:val="28"/>
          <w:lang w:val="uk-UA" w:eastAsia="ru-RU"/>
        </w:rPr>
        <w:t xml:space="preserve"> цей пункт є надзвичайно важливим, оскільки він перетворює природний потенціал на реальний фінансовий ресурс для розвитку інфраструктури. Оскільки громада наразі є дотаційною, великі інвестиційні проєкти (насамперед будівництво ВЕС) стають головним важелем фінансової децентралізації. </w:t>
      </w:r>
      <w:r>
        <w:rPr>
          <w:rFonts w:ascii="Times New Roman" w:eastAsia="Times New Roman" w:hAnsi="Times New Roman"/>
          <w:bCs/>
          <w:sz w:val="28"/>
          <w:szCs w:val="28"/>
          <w:lang w:val="uk-UA" w:eastAsia="ru-RU"/>
        </w:rPr>
        <w:t>Мова іде про прямі бюджетні надходження (оренда та податок на доходи фізичних осіб (ПДФО))</w:t>
      </w:r>
      <w:r>
        <w:rPr>
          <w:rFonts w:ascii="Times New Roman" w:eastAsia="Times New Roman" w:hAnsi="Times New Roman"/>
          <w:sz w:val="28"/>
          <w:szCs w:val="28"/>
          <w:lang w:val="uk-UA" w:eastAsia="ru-RU"/>
        </w:rPr>
        <w:t xml:space="preserve">, позаяк інвестиційні проєкти в енергетиці та рекреації створюють стабільний потік доходів до бюджету ОТГ. Переведення земель високогір’я у категорію земель енергетики значно підвищує їхню нормативну грошову оцінку. Це дозволяє громаді отримувати орендну плату, яка в десятки разів перевищує прибуток від традиційного випасу худоби. Реєстрація юридичних осіб або їхніх відокремлених підрозділів за місцем провадження діяльності гарантує надходження </w:t>
      </w:r>
      <w:r>
        <w:rPr>
          <w:rFonts w:ascii="Times New Roman" w:eastAsia="Times New Roman" w:hAnsi="Times New Roman"/>
          <w:bCs/>
          <w:sz w:val="28"/>
          <w:szCs w:val="28"/>
          <w:lang w:val="uk-UA" w:eastAsia="ru-RU"/>
        </w:rPr>
        <w:t>ПДФО (64%)</w:t>
      </w:r>
      <w:r>
        <w:rPr>
          <w:rFonts w:ascii="Times New Roman" w:eastAsia="Times New Roman" w:hAnsi="Times New Roman"/>
          <w:sz w:val="28"/>
          <w:szCs w:val="28"/>
          <w:lang w:val="uk-UA" w:eastAsia="ru-RU"/>
        </w:rPr>
        <w:t xml:space="preserve"> до місцевого бюджету. Це створює фінансовий ресурс для виплати заробітних плат працівникам бюджетної сфери (вчителям, лікарям) без очікування субвенцій з Києва. </w:t>
      </w:r>
    </w:p>
    <w:p w:rsidR="00227FEF" w:rsidRDefault="00494B9D" w:rsidP="001B0CBC">
      <w:pPr>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Особливістю великих інвестиційних проєктів у відновлюваній енергетиці є підписання меморандумів про пряму допомогу громаді. Інвестори зазвичай беруть на себе зобов’язання щодо фінансування цільових програм таких як: освітлення вулиць, закупівля обладнання для шкільних STEM-лабораторій, ремонт фасадів адміністративних будівель тощо. Будівництво вітряків потребує посилення доріг та мостів для проїзду важкої техніки. Ці капітальні вкладення здійснюються за кошти інвестора, але залишаються в користуванні громади на десятиліття.</w:t>
      </w:r>
    </w:p>
    <w:p w:rsidR="00227FEF" w:rsidRDefault="00494B9D" w:rsidP="001B0CBC">
      <w:pPr>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Залучення великого інвестора стимулює розвиток суміжних галузей (ефект «економічного відлуння»). Під час будівництва та експлуатації ВЕС виникає потреба в послугах місцевих готелів, закладів харчування, логістичних компаній та будівельних бригад. Це створює нові робочі місця та стимулює підприємницьку активність мешканців громади. Громада отримує можливість реалізації проєктів енергосервісу, так як наявність великих генеруючих потужностей на території дозволяє громаді домовлятися про спеціальні умови енергопостачання для комунальних об’єктів, що суттєво скорочує витрати бюджету на комунальні послуги в школах та садочках.</w:t>
      </w:r>
    </w:p>
    <w:p w:rsidR="00227FEF" w:rsidRPr="005E48D4" w:rsidRDefault="00494B9D" w:rsidP="000235D3">
      <w:pPr>
        <w:ind w:firstLine="708"/>
        <w:jc w:val="both"/>
        <w:rPr>
          <w:lang w:val="ru-RU"/>
        </w:rPr>
      </w:pPr>
      <w:r>
        <w:rPr>
          <w:rFonts w:ascii="Times New Roman" w:eastAsia="Times New Roman" w:hAnsi="Times New Roman"/>
          <w:sz w:val="28"/>
          <w:szCs w:val="28"/>
          <w:lang w:val="uk-UA" w:eastAsia="ru-RU"/>
        </w:rPr>
        <w:t xml:space="preserve">Отже, фінансова вигода від інвестицій </w:t>
      </w:r>
      <w:r>
        <w:rPr>
          <w:rFonts w:ascii="Symbol" w:eastAsia="Symbol" w:hAnsi="Symbol" w:cs="Symbol"/>
          <w:sz w:val="28"/>
          <w:szCs w:val="28"/>
          <w:lang w:val="uk-UA" w:eastAsia="ru-RU"/>
        </w:rPr>
        <w:sym w:font="Symbol" w:char="F02D"/>
      </w:r>
      <w:r>
        <w:rPr>
          <w:rFonts w:ascii="Times New Roman" w:eastAsia="Times New Roman" w:hAnsi="Times New Roman"/>
          <w:sz w:val="28"/>
          <w:szCs w:val="28"/>
          <w:lang w:val="uk-UA" w:eastAsia="ru-RU"/>
        </w:rPr>
        <w:t xml:space="preserve"> це </w:t>
      </w:r>
      <w:r>
        <w:rPr>
          <w:rFonts w:ascii="Times New Roman" w:eastAsia="Times New Roman" w:hAnsi="Times New Roman"/>
          <w:bCs/>
          <w:sz w:val="28"/>
          <w:szCs w:val="28"/>
          <w:lang w:val="uk-UA" w:eastAsia="ru-RU"/>
        </w:rPr>
        <w:t>основа</w:t>
      </w:r>
      <w:r>
        <w:rPr>
          <w:rFonts w:ascii="Times New Roman" w:eastAsia="Times New Roman" w:hAnsi="Times New Roman"/>
          <w:sz w:val="28"/>
          <w:szCs w:val="28"/>
          <w:lang w:val="uk-UA" w:eastAsia="ru-RU"/>
        </w:rPr>
        <w:t xml:space="preserve"> для реалізації всіх інших пунктів стратегії. Очікуване будівництво ВЕС гарантує значне наповнення місцевого бюджету через орендну плату за землю та податкові надходження.</w:t>
      </w:r>
    </w:p>
    <w:p w:rsidR="00227FEF" w:rsidRDefault="00227FEF">
      <w:pPr>
        <w:jc w:val="both"/>
        <w:rPr>
          <w:rFonts w:ascii="Times New Roman" w:eastAsia="Calibri" w:hAnsi="Times New Roman"/>
          <w:b/>
          <w:caps/>
          <w:sz w:val="28"/>
          <w:szCs w:val="28"/>
          <w:lang w:val="uk-UA" w:eastAsia="en-US"/>
        </w:rPr>
      </w:pPr>
    </w:p>
    <w:p w:rsidR="00227FEF" w:rsidRDefault="00494B9D" w:rsidP="001A0378">
      <w:pPr>
        <w:ind w:firstLine="708"/>
        <w:jc w:val="both"/>
        <w:rPr>
          <w:rFonts w:ascii="Times New Roman" w:eastAsia="Calibri" w:hAnsi="Times New Roman"/>
          <w:b/>
          <w:caps/>
          <w:sz w:val="28"/>
          <w:szCs w:val="28"/>
          <w:lang w:val="uk-UA" w:eastAsia="en-US"/>
        </w:rPr>
      </w:pPr>
      <w:r>
        <w:rPr>
          <w:rFonts w:ascii="Times New Roman" w:eastAsia="Calibri" w:hAnsi="Times New Roman"/>
          <w:b/>
          <w:caps/>
          <w:sz w:val="28"/>
          <w:szCs w:val="28"/>
          <w:lang w:val="uk-UA" w:eastAsia="en-US"/>
        </w:rPr>
        <w:t>ІІ. Слабкі сторони (Weaknesses)</w:t>
      </w:r>
    </w:p>
    <w:p w:rsidR="00227FEF" w:rsidRDefault="00494B9D" w:rsidP="001B0CBC">
      <w:pPr>
        <w:ind w:firstLine="708"/>
        <w:jc w:val="both"/>
        <w:rPr>
          <w:rFonts w:ascii="Times New Roman" w:eastAsia="Calibri" w:hAnsi="Times New Roman"/>
          <w:sz w:val="28"/>
          <w:szCs w:val="28"/>
          <w:lang w:val="uk-UA" w:eastAsia="en-US"/>
        </w:rPr>
      </w:pPr>
      <w:r>
        <w:rPr>
          <w:rFonts w:ascii="Times New Roman" w:eastAsia="Calibri" w:hAnsi="Times New Roman"/>
          <w:sz w:val="28"/>
          <w:szCs w:val="28"/>
          <w:lang w:val="uk-UA" w:eastAsia="en-US"/>
        </w:rPr>
        <w:t>Аналіз слабких сторін Тур’є-Реметівської громади демонструє типові виклики для гірських територій Закарпаття, які стримують реалізацію її потужного природного та туристичного потенціалу. Розглянемо внутрішні проблеми, які потребують вирішення та стримують розвиток громади.</w:t>
      </w:r>
    </w:p>
    <w:p w:rsidR="00227FEF" w:rsidRPr="005E48D4" w:rsidRDefault="00494B9D" w:rsidP="001B0CBC">
      <w:pPr>
        <w:ind w:firstLine="708"/>
        <w:jc w:val="both"/>
        <w:rPr>
          <w:lang w:val="ru-RU"/>
        </w:rPr>
      </w:pPr>
      <w:r>
        <w:rPr>
          <w:rFonts w:ascii="Times New Roman" w:eastAsia="Calibri" w:hAnsi="Times New Roman"/>
          <w:b/>
          <w:sz w:val="28"/>
          <w:szCs w:val="28"/>
          <w:lang w:val="uk-UA" w:eastAsia="en-US"/>
        </w:rPr>
        <w:t xml:space="preserve">1. Транспортна та інженерна інфраструктура. </w:t>
      </w:r>
      <w:r>
        <w:rPr>
          <w:rFonts w:ascii="Times New Roman" w:eastAsia="Times New Roman" w:hAnsi="Times New Roman"/>
          <w:sz w:val="28"/>
          <w:szCs w:val="28"/>
          <w:lang w:val="uk-UA" w:eastAsia="ru-RU"/>
        </w:rPr>
        <w:t xml:space="preserve">Транспортна та інженерна інфраструктура є одними з найбільш важливих вузлів у життєдіяльності Тур’є-Реметівської громади, оскільки вони безпосередньо впливають на розвиток туризму, логістику лісової галузі та якість життя мешканців. Територія громади має складний гірський рельєф, що здорожчує будівництво та експлуатацію доріг. Через її територію проходить територіальна дорога </w:t>
      </w:r>
      <w:r>
        <w:rPr>
          <w:rFonts w:ascii="Times New Roman" w:eastAsia="Times New Roman" w:hAnsi="Times New Roman"/>
          <w:bCs/>
          <w:sz w:val="28"/>
          <w:szCs w:val="28"/>
          <w:lang w:val="uk-UA" w:eastAsia="ru-RU"/>
        </w:rPr>
        <w:t>Т-07-12</w:t>
      </w:r>
      <w:r>
        <w:rPr>
          <w:rFonts w:ascii="Times New Roman" w:eastAsia="Times New Roman" w:hAnsi="Times New Roman"/>
          <w:sz w:val="28"/>
          <w:szCs w:val="28"/>
          <w:lang w:val="uk-UA" w:eastAsia="ru-RU"/>
        </w:rPr>
        <w:t xml:space="preserve"> (Перечин </w:t>
      </w:r>
      <w:r>
        <w:rPr>
          <w:rFonts w:ascii="Symbol" w:eastAsia="Symbol" w:hAnsi="Symbol" w:cs="Symbol"/>
          <w:sz w:val="28"/>
          <w:szCs w:val="28"/>
          <w:lang w:val="uk-UA" w:eastAsia="ru-RU"/>
        </w:rPr>
        <w:sym w:font="Symbol" w:char="F02D"/>
      </w:r>
      <w:r>
        <w:rPr>
          <w:rFonts w:ascii="Times New Roman" w:eastAsia="Times New Roman" w:hAnsi="Times New Roman"/>
          <w:sz w:val="28"/>
          <w:szCs w:val="28"/>
          <w:lang w:val="uk-UA" w:eastAsia="ru-RU"/>
        </w:rPr>
        <w:t xml:space="preserve"> Свалява), стан якої є неоднорідним, але вона є ключовою для зв’язку громади з іншими районами області. Більшість доріг місцевого значення потребують капітального ремонту. Особливо гостро стоїть питання під’їздів до рекреаційних зон (наприклад, шлях до Лумшор), де інтенсивність руху зростає у вихідні та святкові дні. Села розташовані лінійно вздовж річок (Тур’я</w:t>
      </w:r>
      <w:r w:rsidR="001B0CBC">
        <w:rPr>
          <w:rFonts w:ascii="Times New Roman" w:eastAsia="Times New Roman" w:hAnsi="Times New Roman"/>
          <w:sz w:val="28"/>
          <w:szCs w:val="28"/>
          <w:lang w:val="uk-UA" w:eastAsia="ru-RU"/>
        </w:rPr>
        <w:t>, Туричка</w:t>
      </w:r>
      <w:r>
        <w:rPr>
          <w:rFonts w:ascii="Times New Roman" w:eastAsia="Times New Roman" w:hAnsi="Times New Roman"/>
          <w:sz w:val="28"/>
          <w:szCs w:val="28"/>
          <w:lang w:val="uk-UA" w:eastAsia="ru-RU"/>
        </w:rPr>
        <w:t>), що створює велику протяжність комунікацій при відносно невеликій кількості населення. Оскільки громада пронизана мережею гірських річок і потоків, мости є стратегічно важливими об’єктами. Багато мостів та кладок були пошкоджені під час паводків минулих років. Громада потребує системного укріплення берегів та реконструкції мостових переходів для забезпечення проїзду важкої техніки (пожежних машин, вантажівок). Інфраструктура захисних дамб у багатьох місцях потребує модернізації для запобігання підтопленню житлових будинків.</w:t>
      </w:r>
    </w:p>
    <w:p w:rsidR="00227FEF" w:rsidRDefault="00494B9D" w:rsidP="001B0CBC">
      <w:pPr>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Через лісистість місцевості під час сильних вітрів або снігопадів часто стаються обриви ліній електропередач (ЛЕП). У громаді активно впроваджуються проекти з енергоефективного вуличного освітлення (LED-лампи), проте віддалені вулиці все ще потребують додаткового облаштування. Потенційно територія цікава для малих ГЕС або сонячних панелей на приватних домогосподарствах, але на промисловому рівні ця інфраструктура ще не розвинена.</w:t>
      </w:r>
    </w:p>
    <w:p w:rsidR="00227FEF" w:rsidRPr="005E48D4" w:rsidRDefault="00494B9D">
      <w:pPr>
        <w:jc w:val="both"/>
        <w:rPr>
          <w:lang w:val="ru-RU"/>
        </w:rPr>
      </w:pPr>
      <w:r>
        <w:rPr>
          <w:rFonts w:ascii="Times New Roman" w:eastAsia="Times New Roman" w:hAnsi="Times New Roman"/>
          <w:sz w:val="28"/>
          <w:szCs w:val="28"/>
          <w:lang w:val="uk-UA" w:eastAsia="ru-RU"/>
        </w:rPr>
        <w:t xml:space="preserve">У переважній більшості населених пунктів відсутня централізована система водопостачання. Мешканці та туристичні об’єкти користуються власними свердловинами або колодязями. Відсутність очисних споруд та централізованого водовідведення створює навантаження на екосистему річок. Для розвитку с. Лумшор як курорту побудова сучасних локальних очисних споруд є необхідністю. Громада частково газифікована, проте через високу вартість газу та традиції гірського регіону значна частка домогосподарств і бюджетних установ використовує </w:t>
      </w:r>
      <w:r>
        <w:rPr>
          <w:rFonts w:ascii="Times New Roman" w:eastAsia="Times New Roman" w:hAnsi="Times New Roman"/>
          <w:bCs/>
          <w:sz w:val="28"/>
          <w:szCs w:val="28"/>
          <w:lang w:val="uk-UA" w:eastAsia="ru-RU"/>
        </w:rPr>
        <w:t>твердопаливне опалення</w:t>
      </w:r>
      <w:r>
        <w:rPr>
          <w:rFonts w:ascii="Times New Roman" w:eastAsia="Times New Roman" w:hAnsi="Times New Roman"/>
          <w:sz w:val="28"/>
          <w:szCs w:val="28"/>
          <w:lang w:val="uk-UA" w:eastAsia="ru-RU"/>
        </w:rPr>
        <w:t xml:space="preserve"> (дрова). Це стимулює попит на місцеві лісові ресурси.</w:t>
      </w:r>
    </w:p>
    <w:p w:rsidR="00227FEF" w:rsidRPr="005E48D4" w:rsidRDefault="00494B9D" w:rsidP="000605DF">
      <w:pPr>
        <w:ind w:firstLine="708"/>
        <w:jc w:val="both"/>
        <w:rPr>
          <w:lang w:val="ru-RU"/>
        </w:rPr>
      </w:pPr>
      <w:r>
        <w:rPr>
          <w:rFonts w:ascii="Times New Roman" w:eastAsia="Times New Roman" w:hAnsi="Times New Roman"/>
          <w:sz w:val="28"/>
          <w:szCs w:val="28"/>
          <w:lang w:val="uk-UA" w:eastAsia="ru-RU"/>
        </w:rPr>
        <w:t xml:space="preserve">Центри сіл мають стабільний мобільний зв’язок (4G), проте в долинах та на високогірних ділянках спостерігаються прогалини у зв’язку. У соціальних закладах (школи, садочки, ЦНАП) інтернет здебільшого наявний. Тому для подальшого розвитку Тур’є-Реметівській ОТГ необхідно зосередитися на залученні інвестиційних та грантових коштів для </w:t>
      </w:r>
      <w:r>
        <w:rPr>
          <w:rFonts w:ascii="Times New Roman" w:eastAsia="Times New Roman" w:hAnsi="Times New Roman"/>
          <w:bCs/>
          <w:sz w:val="28"/>
          <w:szCs w:val="28"/>
          <w:lang w:val="uk-UA" w:eastAsia="ru-RU"/>
        </w:rPr>
        <w:t>реконструкції доріг до туристичних магнітів</w:t>
      </w:r>
      <w:r>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lastRenderedPageBreak/>
        <w:t xml:space="preserve">й вирішення питання з </w:t>
      </w:r>
      <w:r>
        <w:rPr>
          <w:rFonts w:ascii="Times New Roman" w:eastAsia="Times New Roman" w:hAnsi="Times New Roman"/>
          <w:bCs/>
          <w:sz w:val="28"/>
          <w:szCs w:val="28"/>
          <w:lang w:val="uk-UA" w:eastAsia="ru-RU"/>
        </w:rPr>
        <w:t>очисними спорудами</w:t>
      </w:r>
      <w:r>
        <w:rPr>
          <w:rFonts w:ascii="Times New Roman" w:eastAsia="Times New Roman" w:hAnsi="Times New Roman"/>
          <w:sz w:val="28"/>
          <w:szCs w:val="28"/>
          <w:lang w:val="uk-UA" w:eastAsia="ru-RU"/>
        </w:rPr>
        <w:t>, що дозволить легалізувати та розширити рекреаційний бізнес.</w:t>
      </w:r>
    </w:p>
    <w:p w:rsidR="00227FEF" w:rsidRDefault="00494B9D" w:rsidP="001A0378">
      <w:pPr>
        <w:ind w:firstLine="708"/>
        <w:jc w:val="both"/>
        <w:rPr>
          <w:rFonts w:ascii="Times New Roman" w:eastAsia="Times New Roman" w:hAnsi="Times New Roman"/>
          <w:bCs/>
          <w:sz w:val="28"/>
          <w:szCs w:val="28"/>
          <w:lang w:val="uk-UA" w:eastAsia="ru-RU"/>
        </w:rPr>
      </w:pPr>
      <w:r>
        <w:rPr>
          <w:rFonts w:ascii="Times New Roman" w:eastAsia="Times New Roman" w:hAnsi="Times New Roman"/>
          <w:b/>
          <w:sz w:val="28"/>
          <w:szCs w:val="28"/>
          <w:lang w:val="uk-UA" w:eastAsia="ru-RU"/>
        </w:rPr>
        <w:t xml:space="preserve">2. Екологічні та природні виклики. </w:t>
      </w:r>
      <w:r>
        <w:rPr>
          <w:rFonts w:ascii="Times New Roman" w:eastAsia="Times New Roman" w:hAnsi="Times New Roman"/>
          <w:sz w:val="28"/>
          <w:szCs w:val="28"/>
          <w:lang w:val="uk-UA" w:eastAsia="ru-RU"/>
        </w:rPr>
        <w:t xml:space="preserve">Екологічний стан Тур’є-Реметівської громади безпосередньо впливає на її головний актив </w:t>
      </w:r>
      <w:r>
        <w:rPr>
          <w:rFonts w:ascii="Symbol" w:eastAsia="Symbol" w:hAnsi="Symbol" w:cs="Symbol"/>
          <w:sz w:val="28"/>
          <w:szCs w:val="28"/>
          <w:lang w:val="uk-UA" w:eastAsia="ru-RU"/>
        </w:rPr>
        <w:sym w:font="Symbol" w:char="F02D"/>
      </w:r>
      <w:r>
        <w:rPr>
          <w:rFonts w:ascii="Times New Roman" w:eastAsia="Times New Roman" w:hAnsi="Times New Roman"/>
          <w:sz w:val="28"/>
          <w:szCs w:val="28"/>
          <w:lang w:val="uk-UA" w:eastAsia="ru-RU"/>
        </w:rPr>
        <w:t xml:space="preserve"> туристичну привабливість та здоров’я мешканців. Оскільки територія є частиною Смарагдової мережі та багата на водні ресурси, екологічні виклики мають транскордонне значення. Чи не найгостріша проблема громади </w:t>
      </w:r>
      <w:r>
        <w:rPr>
          <w:rFonts w:ascii="Symbol" w:eastAsia="Symbol" w:hAnsi="Symbol" w:cs="Symbol"/>
          <w:sz w:val="28"/>
          <w:szCs w:val="28"/>
          <w:lang w:val="uk-UA" w:eastAsia="ru-RU"/>
        </w:rPr>
        <w:sym w:font="Symbol" w:char="F02D"/>
      </w:r>
      <w:r>
        <w:rPr>
          <w:rFonts w:ascii="Times New Roman" w:eastAsia="Times New Roman" w:hAnsi="Times New Roman"/>
          <w:sz w:val="28"/>
          <w:szCs w:val="28"/>
          <w:lang w:val="uk-UA" w:eastAsia="ru-RU"/>
        </w:rPr>
        <w:t xml:space="preserve"> це по</w:t>
      </w:r>
      <w:r>
        <w:rPr>
          <w:rFonts w:ascii="Times New Roman" w:eastAsia="Times New Roman" w:hAnsi="Times New Roman"/>
          <w:bCs/>
          <w:sz w:val="28"/>
          <w:szCs w:val="28"/>
          <w:lang w:val="uk-UA" w:eastAsia="ru-RU"/>
        </w:rPr>
        <w:t xml:space="preserve">водження з твердими побутовими відходами (ТПВ). </w:t>
      </w:r>
      <w:r>
        <w:rPr>
          <w:rFonts w:ascii="Times New Roman" w:eastAsia="Times New Roman" w:hAnsi="Times New Roman"/>
          <w:sz w:val="28"/>
          <w:szCs w:val="28"/>
          <w:lang w:val="uk-UA" w:eastAsia="ru-RU"/>
        </w:rPr>
        <w:t>Через складний рельєф та відсутність культури сортування в деяких домогосподарствах, сміття часто потрапляє в яри та русла річок.</w:t>
      </w:r>
      <w:r>
        <w:rPr>
          <w:rFonts w:ascii="Times New Roman" w:eastAsia="Times New Roman" w:hAnsi="Times New Roman"/>
          <w:bCs/>
          <w:sz w:val="28"/>
          <w:szCs w:val="28"/>
          <w:lang w:val="uk-UA" w:eastAsia="ru-RU"/>
        </w:rPr>
        <w:t xml:space="preserve"> </w:t>
      </w:r>
      <w:r>
        <w:rPr>
          <w:rFonts w:ascii="Times New Roman" w:eastAsia="Times New Roman" w:hAnsi="Times New Roman"/>
          <w:sz w:val="28"/>
          <w:szCs w:val="28"/>
          <w:lang w:val="uk-UA" w:eastAsia="ru-RU"/>
        </w:rPr>
        <w:t>Вивезення сміття з гірських населених пунктів (як-от Вільшинки чи Липовець) є дороговартісним через стан доріг та віддаленість від полігонів.</w:t>
      </w:r>
      <w:r>
        <w:rPr>
          <w:rFonts w:ascii="Times New Roman" w:eastAsia="Times New Roman" w:hAnsi="Times New Roman"/>
          <w:bCs/>
          <w:sz w:val="28"/>
          <w:szCs w:val="28"/>
          <w:lang w:val="uk-UA" w:eastAsia="ru-RU"/>
        </w:rPr>
        <w:t xml:space="preserve"> </w:t>
      </w:r>
      <w:r>
        <w:rPr>
          <w:rFonts w:ascii="Times New Roman" w:eastAsia="Times New Roman" w:hAnsi="Times New Roman"/>
          <w:sz w:val="28"/>
          <w:szCs w:val="28"/>
          <w:lang w:val="uk-UA" w:eastAsia="ru-RU"/>
        </w:rPr>
        <w:t>Під час паводків накопичене у потічках сміття зноситься вниз за течією, створюючи екологічні проблеми не лише для громади, а й для сусіднього м. Перечина та м. Ужгорода.</w:t>
      </w:r>
    </w:p>
    <w:p w:rsidR="00227FEF" w:rsidRPr="005E48D4" w:rsidRDefault="00494B9D" w:rsidP="000605DF">
      <w:pPr>
        <w:ind w:firstLine="708"/>
        <w:jc w:val="both"/>
        <w:rPr>
          <w:lang w:val="ru-RU"/>
        </w:rPr>
      </w:pPr>
      <w:r>
        <w:rPr>
          <w:rFonts w:ascii="Times New Roman" w:eastAsia="Times New Roman" w:hAnsi="Times New Roman"/>
          <w:sz w:val="28"/>
          <w:szCs w:val="28"/>
          <w:lang w:val="uk-UA" w:eastAsia="ru-RU"/>
        </w:rPr>
        <w:t>Громада славиться своїми гірськими річками та мінеральними водами, проте вони теж під загрозою. Через відсутність централізованої каналізації у більшості сіл та відпочинкових комплексів, неочищені стічні води можуть потрапляти у ґрунтові води та річки. Спостерігається н</w:t>
      </w:r>
      <w:r>
        <w:rPr>
          <w:rFonts w:ascii="Times New Roman" w:eastAsia="Times New Roman" w:hAnsi="Times New Roman"/>
          <w:bCs/>
          <w:sz w:val="28"/>
          <w:szCs w:val="28"/>
          <w:lang w:val="uk-UA" w:eastAsia="ru-RU"/>
        </w:rPr>
        <w:t>авантаження на бальнеологічні ресурси через і</w:t>
      </w:r>
      <w:r>
        <w:rPr>
          <w:rFonts w:ascii="Times New Roman" w:eastAsia="Times New Roman" w:hAnsi="Times New Roman"/>
          <w:sz w:val="28"/>
          <w:szCs w:val="28"/>
          <w:lang w:val="uk-UA" w:eastAsia="ru-RU"/>
        </w:rPr>
        <w:t>нтенсивну експлуатацію свердловин у с. Лумшорах, що без належного екологічного моніторингу може призвести до виснаження унікальних джерел.</w:t>
      </w:r>
    </w:p>
    <w:p w:rsidR="00227FEF" w:rsidRPr="005E48D4" w:rsidRDefault="00494B9D">
      <w:pPr>
        <w:jc w:val="both"/>
        <w:rPr>
          <w:lang w:val="ru-RU"/>
        </w:rPr>
      </w:pPr>
      <w:r>
        <w:rPr>
          <w:rFonts w:ascii="Times New Roman" w:eastAsia="Times New Roman" w:hAnsi="Times New Roman"/>
          <w:sz w:val="28"/>
          <w:szCs w:val="28"/>
          <w:lang w:val="uk-UA" w:eastAsia="ru-RU"/>
        </w:rPr>
        <w:t xml:space="preserve">Ліс </w:t>
      </w:r>
      <w:r>
        <w:rPr>
          <w:rFonts w:ascii="Symbol" w:eastAsia="Symbol" w:hAnsi="Symbol" w:cs="Symbol"/>
          <w:sz w:val="28"/>
          <w:szCs w:val="28"/>
          <w:lang w:val="uk-UA" w:eastAsia="ru-RU"/>
        </w:rPr>
        <w:sym w:font="Symbol" w:char="F02D"/>
      </w:r>
      <w:r>
        <w:rPr>
          <w:rFonts w:ascii="Times New Roman" w:eastAsia="Times New Roman" w:hAnsi="Times New Roman"/>
          <w:sz w:val="28"/>
          <w:szCs w:val="28"/>
          <w:lang w:val="uk-UA" w:eastAsia="ru-RU"/>
        </w:rPr>
        <w:t xml:space="preserve"> це основа екосистеми регіону, але він стикається з серйозними викликами. Хоча лісозаготівля є важливою частиною економіки, вона призводить до ерозії ґрунтів на схилах та порушення гідрологічного режиму. Зміна клімату та поширення шкідників спричиняють масове всихання смерекових насаджень, що потребує заміни їх на стійкіші змішані ліси (бук, ялиця). Неконтрольований збір дикоросів (ягід, грибів) та браконьєрство негативно впливають на локальну фауну та збереження біорізноманіття.</w:t>
      </w:r>
    </w:p>
    <w:p w:rsidR="00227FEF" w:rsidRDefault="00494B9D" w:rsidP="000605DF">
      <w:pPr>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Географічне положення громади робить її вразливою до стихій. Швидке танення снігу або зливові дощі спричиняють різкий підйом рівня води у річках. Через знеліснення схилів вода не затримується, що веде до руйнування берегів та інфраструктури. Гірські схили в районах активного будівництва чи вирубки стають нестабільними, що загрожує дорогам та житловим будинкам. В останні роки спостерігається зниження рівня води у криницях та малих потічках у літній період, що створює дефіцит питної води для мешканців. Зростання середніх температур підвищує ризик лісових пожеж, особливо в районах з великою кількістю сухостою.</w:t>
      </w:r>
    </w:p>
    <w:p w:rsidR="00227FEF" w:rsidRPr="005E48D4" w:rsidRDefault="00494B9D" w:rsidP="000605DF">
      <w:pPr>
        <w:ind w:firstLine="708"/>
        <w:jc w:val="both"/>
        <w:rPr>
          <w:lang w:val="ru-RU"/>
        </w:rPr>
      </w:pPr>
      <w:r>
        <w:rPr>
          <w:rFonts w:ascii="Times New Roman" w:eastAsia="Times New Roman" w:hAnsi="Times New Roman"/>
          <w:sz w:val="28"/>
          <w:szCs w:val="28"/>
          <w:lang w:val="uk-UA" w:eastAsia="ru-RU"/>
        </w:rPr>
        <w:t xml:space="preserve">Отже, екологічні виклики громади є наслідком </w:t>
      </w:r>
      <w:r>
        <w:rPr>
          <w:rFonts w:ascii="Times New Roman" w:eastAsia="Times New Roman" w:hAnsi="Times New Roman"/>
          <w:bCs/>
          <w:sz w:val="28"/>
          <w:szCs w:val="28"/>
          <w:lang w:val="uk-UA" w:eastAsia="ru-RU"/>
        </w:rPr>
        <w:t>недостатнього інфраструктурного забезпечення</w:t>
      </w:r>
      <w:r>
        <w:rPr>
          <w:rFonts w:ascii="Times New Roman" w:eastAsia="Times New Roman" w:hAnsi="Times New Roman"/>
          <w:sz w:val="28"/>
          <w:szCs w:val="28"/>
          <w:lang w:val="uk-UA" w:eastAsia="ru-RU"/>
        </w:rPr>
        <w:t xml:space="preserve"> (відсутність очисних споруд та систем сортування) та </w:t>
      </w:r>
      <w:r>
        <w:rPr>
          <w:rFonts w:ascii="Times New Roman" w:eastAsia="Times New Roman" w:hAnsi="Times New Roman"/>
          <w:bCs/>
          <w:sz w:val="28"/>
          <w:szCs w:val="28"/>
          <w:lang w:val="uk-UA" w:eastAsia="ru-RU"/>
        </w:rPr>
        <w:t>не раціональної експлуатації природних ресурсів</w:t>
      </w:r>
      <w:r>
        <w:rPr>
          <w:rFonts w:ascii="Times New Roman" w:eastAsia="Times New Roman" w:hAnsi="Times New Roman"/>
          <w:sz w:val="28"/>
          <w:szCs w:val="28"/>
          <w:lang w:val="uk-UA" w:eastAsia="ru-RU"/>
        </w:rPr>
        <w:t>. Проте перехід до моделі сталого розвитку (екотуризм, енергоефективність) може перетворити ці виклики на нові можливості для залучення «зелених» інвестицій.</w:t>
      </w:r>
    </w:p>
    <w:p w:rsidR="00227FEF" w:rsidRPr="005E48D4" w:rsidRDefault="00494B9D" w:rsidP="001A0378">
      <w:pPr>
        <w:ind w:firstLine="708"/>
        <w:jc w:val="both"/>
        <w:rPr>
          <w:lang w:val="ru-RU"/>
        </w:rPr>
      </w:pPr>
      <w:r>
        <w:rPr>
          <w:rFonts w:ascii="Times New Roman" w:eastAsia="Calibri" w:hAnsi="Times New Roman"/>
          <w:b/>
          <w:sz w:val="28"/>
          <w:szCs w:val="28"/>
          <w:lang w:val="uk-UA" w:eastAsia="en-US"/>
        </w:rPr>
        <w:t xml:space="preserve">3. Демографія та людський капітал. </w:t>
      </w:r>
      <w:r>
        <w:rPr>
          <w:rFonts w:ascii="Times New Roman" w:eastAsia="Calibri" w:hAnsi="Times New Roman"/>
          <w:sz w:val="28"/>
          <w:szCs w:val="28"/>
          <w:lang w:val="uk-UA" w:eastAsia="en-US"/>
        </w:rPr>
        <w:t>Тур</w:t>
      </w:r>
      <w:r>
        <w:rPr>
          <w:rFonts w:ascii="Times New Roman" w:eastAsia="Calibri" w:hAnsi="Times New Roman"/>
          <w:sz w:val="28"/>
          <w:szCs w:val="28"/>
          <w:lang w:val="ru-RU" w:eastAsia="en-US"/>
        </w:rPr>
        <w:t>’</w:t>
      </w:r>
      <w:r>
        <w:rPr>
          <w:rFonts w:ascii="Times New Roman" w:eastAsia="Calibri" w:hAnsi="Times New Roman"/>
          <w:sz w:val="28"/>
          <w:szCs w:val="28"/>
          <w:lang w:val="uk-UA" w:eastAsia="en-US"/>
        </w:rPr>
        <w:t xml:space="preserve">є Реметівська громада стикається з природним та механічним скороченням чисельності населення, що призводить до поступового зменшення кількості населення. Спостерігається тенденція до старіння населення (частка людей пенсійного віку становить 18%). Оскільки частка людей </w:t>
      </w:r>
      <w:r>
        <w:rPr>
          <w:rFonts w:ascii="Times New Roman" w:eastAsia="Calibri" w:hAnsi="Times New Roman"/>
          <w:sz w:val="28"/>
          <w:szCs w:val="28"/>
          <w:lang w:val="uk-UA" w:eastAsia="en-US"/>
        </w:rPr>
        <w:lastRenderedPageBreak/>
        <w:t>пенсійного віку зростає, це збільшує навантаження на медичну та соціальну сфери, водночас зменшуючи кількість активного працездатного населення. Зайнятість населення у сферах економічної діяльності (у тому числі за межами громади) становить 3284 особи (21% від загальної кількості населення). Кількість безробітних за даними центру зайнятості становить 31%.</w:t>
      </w:r>
    </w:p>
    <w:p w:rsidR="00227FEF" w:rsidRDefault="00494B9D" w:rsidP="000605DF">
      <w:pPr>
        <w:ind w:firstLine="708"/>
        <w:jc w:val="both"/>
        <w:rPr>
          <w:rFonts w:ascii="Times New Roman" w:eastAsia="Calibri" w:hAnsi="Times New Roman"/>
          <w:sz w:val="28"/>
          <w:szCs w:val="28"/>
          <w:lang w:val="uk-UA" w:eastAsia="en-US"/>
        </w:rPr>
      </w:pPr>
      <w:r>
        <w:rPr>
          <w:rFonts w:ascii="Times New Roman" w:eastAsia="Calibri" w:hAnsi="Times New Roman"/>
          <w:sz w:val="28"/>
          <w:szCs w:val="28"/>
          <w:lang w:val="uk-UA" w:eastAsia="en-US"/>
        </w:rPr>
        <w:t>Близькість до кордонів з країнами ЄС має подвійний ефект, оскільки значна частина молоді та кваліфікованих фахівців виїжджають на тривалий термін або на постійне проживання за кордон у пошуках вищих заробітків. Ужгород, як обласний центр, перетягує людський ресурс, оскільки пропонує більше можливостей для кар’єрного росту та дозвілля. Поширене явище сезонних заробітків, що призводить до нестабільності сімейних зав’язків та соціальної напруги.</w:t>
      </w:r>
    </w:p>
    <w:p w:rsidR="00227FEF" w:rsidRDefault="00494B9D" w:rsidP="000605DF">
      <w:pPr>
        <w:ind w:firstLine="708"/>
        <w:jc w:val="both"/>
        <w:rPr>
          <w:rFonts w:ascii="Times New Roman" w:eastAsia="Calibri" w:hAnsi="Times New Roman"/>
          <w:sz w:val="28"/>
          <w:szCs w:val="28"/>
          <w:lang w:val="uk-UA" w:eastAsia="en-US"/>
        </w:rPr>
      </w:pPr>
      <w:r>
        <w:rPr>
          <w:rFonts w:ascii="Times New Roman" w:eastAsia="Calibri" w:hAnsi="Times New Roman"/>
          <w:sz w:val="28"/>
          <w:szCs w:val="28"/>
          <w:lang w:val="uk-UA" w:eastAsia="en-US"/>
        </w:rPr>
        <w:t>Спостерігається дисбаланс кваліфікацій, позаяк існує розрив між навичками місцевого населення та потребами сучасного ринку праці. Громада має фахівців у традиційних сферах (лісництво, сільське господарство), але відчуває дефіцит спеціалістів у сфері проектного менеджменту, сучасного сервісу чи ІТ. Попри наявність мережі закладів загальної середньої освіти, спостерігається проблема з професійно-технічною підготовкою безпосередньо в межах ОТГ. Поза межами туристичних центрів (як-от с. Лумшори) рівень самозайнятості населення залишається низьким.</w:t>
      </w:r>
    </w:p>
    <w:p w:rsidR="00227FEF" w:rsidRDefault="00494B9D" w:rsidP="000605DF">
      <w:pPr>
        <w:ind w:firstLine="708"/>
        <w:jc w:val="both"/>
        <w:rPr>
          <w:rFonts w:ascii="Times New Roman" w:eastAsia="Calibri" w:hAnsi="Times New Roman"/>
          <w:sz w:val="28"/>
          <w:szCs w:val="28"/>
          <w:lang w:val="uk-UA" w:eastAsia="en-US"/>
        </w:rPr>
      </w:pPr>
      <w:r>
        <w:rPr>
          <w:rFonts w:ascii="Times New Roman" w:eastAsia="Calibri" w:hAnsi="Times New Roman"/>
          <w:sz w:val="28"/>
          <w:szCs w:val="28"/>
          <w:lang w:val="uk-UA" w:eastAsia="en-US"/>
        </w:rPr>
        <w:t>Позитивним аспектом є соціальна згуртованість та ідентичність. Так, мешканці мають сильну прив’язаність до своєї землі та традицій. Це є позитивним фактором, який може стати фундаментом для розвитку локальних ініціатив. Проте відчувається пасивність молоді, так як відсутність сучасних молодіжних центрів та просторів для самореалізації часто призводить до відчуження молоді від процесів прийняття рішень у громаді.</w:t>
      </w:r>
    </w:p>
    <w:p w:rsidR="00227FEF" w:rsidRPr="005E48D4" w:rsidRDefault="00494B9D" w:rsidP="000605DF">
      <w:pPr>
        <w:ind w:firstLine="708"/>
        <w:jc w:val="both"/>
        <w:rPr>
          <w:lang w:val="ru-RU"/>
        </w:rPr>
      </w:pPr>
      <w:r>
        <w:rPr>
          <w:rFonts w:ascii="Times New Roman" w:eastAsia="Calibri" w:hAnsi="Times New Roman"/>
          <w:sz w:val="28"/>
          <w:szCs w:val="28"/>
          <w:lang w:val="uk-UA" w:eastAsia="en-US"/>
        </w:rPr>
        <w:t xml:space="preserve">Тур’є Реметівська громада добре забезпечена комунальними некомерційними закладами «Центрами первинної медико-санітарної допомоги», яких є 8 .Але віддаленість деяких сіл ускладнює доступ до вчасної медичної допомоги. Є  один будинок культури, 7 клубів та одна публічна бібліотека (включно із восьми філіями). Деякі з них потребують  ремонту, а й концептуального оновлення, щоб стати привабливими для мешканців. </w:t>
      </w:r>
    </w:p>
    <w:p w:rsidR="00227FEF" w:rsidRDefault="00494B9D" w:rsidP="000605DF">
      <w:pPr>
        <w:ind w:firstLine="708"/>
        <w:jc w:val="both"/>
        <w:rPr>
          <w:rFonts w:ascii="Times New Roman" w:eastAsia="Calibri" w:hAnsi="Times New Roman"/>
          <w:sz w:val="28"/>
          <w:szCs w:val="28"/>
          <w:lang w:val="uk-UA" w:eastAsia="en-US"/>
        </w:rPr>
      </w:pPr>
      <w:r>
        <w:rPr>
          <w:rFonts w:ascii="Times New Roman" w:eastAsia="Calibri" w:hAnsi="Times New Roman"/>
          <w:sz w:val="28"/>
          <w:szCs w:val="28"/>
          <w:lang w:val="uk-UA" w:eastAsia="en-US"/>
        </w:rPr>
        <w:t>Отже, демографічна ситуація є особливо слабкою стороною, оскільки без збереження та розвитку людського ресурсу будь-які інфраструктурні проекти втрачають сенс. Основним завданням громади є створення умов для повернення молоді (через підтримку малого підприємництва та створення робочих місць у туризмі, промисловості) та підвищення якості соціальних послуг.</w:t>
      </w:r>
    </w:p>
    <w:p w:rsidR="00227FEF" w:rsidRPr="005E48D4" w:rsidRDefault="00494B9D" w:rsidP="001A0378">
      <w:pPr>
        <w:ind w:firstLine="708"/>
        <w:jc w:val="both"/>
        <w:rPr>
          <w:lang w:val="ru-RU"/>
        </w:rPr>
      </w:pPr>
      <w:r>
        <w:rPr>
          <w:rFonts w:ascii="Times New Roman" w:eastAsia="Calibri" w:hAnsi="Times New Roman"/>
          <w:b/>
          <w:sz w:val="28"/>
          <w:szCs w:val="28"/>
          <w:lang w:val="uk-UA" w:eastAsia="en-US"/>
        </w:rPr>
        <w:t xml:space="preserve">4. Економічна та бюджетна вразливість. </w:t>
      </w:r>
      <w:r>
        <w:rPr>
          <w:rFonts w:ascii="Times New Roman" w:eastAsia="Calibri" w:hAnsi="Times New Roman"/>
          <w:sz w:val="28"/>
          <w:szCs w:val="28"/>
          <w:lang w:val="uk-UA" w:eastAsia="en-US"/>
        </w:rPr>
        <w:t xml:space="preserve">Незважаючи на значний природний потенціал, економіка громади стикається з низкою бар’єрів, які стримують зростання надходжень до бюджету. Перш за все – це сировинна спрямованість економіки. Основний дохід регіону забезпечує лісове господарство. Проте більшість деревини реалізується як сировина або напівфабрикати. Відсутність підприємств із глибокої переробки деревини та виготовлення готової продукції (меблів, конструкційних матеріалів) призводить до втрати доданої вартості, яка могла б залишатися в громаді. </w:t>
      </w:r>
      <w:r>
        <w:rPr>
          <w:rFonts w:ascii="Times New Roman" w:eastAsia="Calibri" w:hAnsi="Times New Roman"/>
          <w:sz w:val="28"/>
          <w:szCs w:val="28"/>
          <w:lang w:val="uk-UA" w:eastAsia="en-US"/>
        </w:rPr>
        <w:lastRenderedPageBreak/>
        <w:t xml:space="preserve">По друге – це слабка диверсифікація бізнесу, оскільки економіка сильно залежить від двох секторів </w:t>
      </w:r>
      <w:r>
        <w:rPr>
          <w:rFonts w:ascii="Symbol" w:eastAsia="Symbol" w:hAnsi="Symbol" w:cs="Symbol"/>
          <w:sz w:val="28"/>
          <w:szCs w:val="28"/>
          <w:lang w:val="uk-UA" w:eastAsia="en-US"/>
        </w:rPr>
        <w:sym w:font="Symbol" w:char="F02D"/>
      </w:r>
      <w:r>
        <w:rPr>
          <w:rFonts w:ascii="Times New Roman" w:eastAsia="Calibri" w:hAnsi="Times New Roman"/>
          <w:sz w:val="28"/>
          <w:szCs w:val="28"/>
          <w:lang w:val="uk-UA" w:eastAsia="en-US"/>
        </w:rPr>
        <w:t xml:space="preserve"> лісу та туризму. Сільське господарство розвинене слабо через складний рельєф, а переробна промисловість майже відсутня. Це робить бюджет громади вразливим до сезонних коливань та змін у лісовому законодавстві Присутня тінізація туристичних послуг, адже велика кількість приватних садиб та гостьових будинків працюють неофіційно. Це не лише зменшує надходження від туристичного збору та ПДФО, а й заважає формуванню єдиного якісного стандарту послуг у громаді.</w:t>
      </w:r>
    </w:p>
    <w:p w:rsidR="00227FEF" w:rsidRDefault="00494B9D" w:rsidP="000605DF">
      <w:pPr>
        <w:ind w:firstLine="708"/>
        <w:jc w:val="both"/>
        <w:rPr>
          <w:rFonts w:ascii="Times New Roman" w:eastAsia="Calibri" w:hAnsi="Times New Roman"/>
          <w:sz w:val="28"/>
          <w:szCs w:val="28"/>
          <w:lang w:val="uk-UA" w:eastAsia="en-US"/>
        </w:rPr>
      </w:pPr>
      <w:r>
        <w:rPr>
          <w:rFonts w:ascii="Times New Roman" w:eastAsia="Calibri" w:hAnsi="Times New Roman"/>
          <w:sz w:val="28"/>
          <w:szCs w:val="28"/>
          <w:lang w:val="uk-UA" w:eastAsia="en-US"/>
        </w:rPr>
        <w:t>Через згадані раніше інфраструктурні проблеми великі інвестори часто обирають сусідні громади з кращою логістикою. Також бракує підготовлених інвестиційних паспортів та земельних ділянок із підведеними комунікаціями (greenfields/brownfields). Малий та середній бізнес у селах має обмежений доступ до кредитування та програм підтримки. Місцеві підприємці часто не мають достатніх навичок для написання грантових заявок чи участі в міжнародних проектах (Державний фонд регонального розвитку (ДФРР), транскордонне співробітництво).</w:t>
      </w:r>
    </w:p>
    <w:p w:rsidR="00227FEF" w:rsidRDefault="00494B9D">
      <w:pPr>
        <w:jc w:val="both"/>
        <w:rPr>
          <w:rFonts w:ascii="Times New Roman" w:eastAsia="Times New Roman" w:hAnsi="Times New Roman"/>
          <w:b/>
          <w:bCs/>
          <w:sz w:val="28"/>
          <w:szCs w:val="28"/>
          <w:lang w:val="uk-UA" w:eastAsia="ru-RU"/>
        </w:rPr>
      </w:pPr>
      <w:r>
        <w:rPr>
          <w:rFonts w:ascii="Times New Roman" w:eastAsia="Times New Roman" w:hAnsi="Times New Roman"/>
          <w:sz w:val="28"/>
          <w:szCs w:val="28"/>
          <w:lang w:val="uk-UA" w:eastAsia="ru-RU"/>
        </w:rPr>
        <w:t>Низька самодостатність бюджету належить до внутрішніх слабких сторін Тур’є-Реметівської ОТГ. Громада сильно залежить від зовнішніх фінансових надходжень (дотацій та субвенцій з державного бюджету) і має обмежені власні ресурси для розвитку. Значна частина бюджету громади формується за рахунок базової дотації. Це означає, що власних доходів (податків, зборів) не вистачає навіть на покриття захищених статтей видатків (зарплати бюджетникам, енергоносії).</w:t>
      </w:r>
      <w:r>
        <w:rPr>
          <w:rFonts w:ascii="Times New Roman" w:eastAsia="Times New Roman" w:hAnsi="Times New Roman"/>
          <w:b/>
          <w:bCs/>
          <w:sz w:val="28"/>
          <w:szCs w:val="28"/>
          <w:lang w:val="uk-UA" w:eastAsia="ru-RU"/>
        </w:rPr>
        <w:t xml:space="preserve"> </w:t>
      </w:r>
      <w:r>
        <w:rPr>
          <w:rFonts w:ascii="Times New Roman" w:eastAsia="Times New Roman" w:hAnsi="Times New Roman"/>
          <w:sz w:val="28"/>
          <w:szCs w:val="28"/>
          <w:lang w:val="uk-UA" w:eastAsia="ru-RU"/>
        </w:rPr>
        <w:t>Будь-які зміни в державному законодавстві щодо розподілу ПДФО або обсягів субвенцій миттєво створюють фінансовий дефіцит у громаді.</w:t>
      </w:r>
    </w:p>
    <w:p w:rsidR="00227FEF" w:rsidRPr="005E48D4" w:rsidRDefault="00494B9D" w:rsidP="000605DF">
      <w:pPr>
        <w:ind w:firstLine="708"/>
        <w:jc w:val="both"/>
        <w:rPr>
          <w:lang w:val="ru-RU"/>
        </w:rPr>
      </w:pPr>
      <w:r>
        <w:rPr>
          <w:rFonts w:ascii="Times New Roman" w:eastAsia="Times New Roman" w:hAnsi="Times New Roman"/>
          <w:sz w:val="28"/>
          <w:szCs w:val="28"/>
          <w:lang w:val="uk-UA" w:eastAsia="ru-RU"/>
        </w:rPr>
        <w:t xml:space="preserve">Більшість власних надходжень складає ПДФО. У громаді зареєстровано 29 малих підприємств, та 395 малих підприємців, фізичних осіб та 168 підприємств торгівлі (з них 122 у приватних торгових точках). Оскільки великих промислових підприємств у громаді мало, основні платники </w:t>
      </w:r>
      <w:r>
        <w:rPr>
          <w:rFonts w:ascii="Symbol" w:eastAsia="Symbol" w:hAnsi="Symbol" w:cs="Symbol"/>
          <w:sz w:val="28"/>
          <w:szCs w:val="28"/>
          <w:lang w:val="uk-UA" w:eastAsia="ru-RU"/>
        </w:rPr>
        <w:sym w:font="Symbol" w:char="F02D"/>
      </w:r>
      <w:r>
        <w:rPr>
          <w:rFonts w:ascii="Times New Roman" w:eastAsia="Times New Roman" w:hAnsi="Times New Roman"/>
          <w:sz w:val="28"/>
          <w:szCs w:val="28"/>
          <w:lang w:val="uk-UA" w:eastAsia="ru-RU"/>
        </w:rPr>
        <w:t xml:space="preserve"> це працівники бюджетної сфери та лісгоспів. Через велику частку земель лісового фонду та державної власності, громада отримує менше земельного податку. Попри популярність с. Лумшор та інших локацій, офіційні надходження від туристичного збору залишаються низькими. Це свідчить про перебування значної частини рекреаційного бізнесу в тіні (неофіційне надання послуг проживання).</w:t>
      </w:r>
    </w:p>
    <w:p w:rsidR="00227FEF" w:rsidRPr="005E48D4" w:rsidRDefault="00494B9D" w:rsidP="000605DF">
      <w:pPr>
        <w:ind w:firstLine="708"/>
        <w:jc w:val="both"/>
        <w:rPr>
          <w:lang w:val="uk-UA"/>
        </w:rPr>
      </w:pPr>
      <w:r>
        <w:rPr>
          <w:rFonts w:ascii="Times New Roman" w:eastAsia="Times New Roman" w:hAnsi="Times New Roman"/>
          <w:sz w:val="28"/>
          <w:szCs w:val="28"/>
          <w:lang w:val="uk-UA" w:eastAsia="ru-RU"/>
        </w:rPr>
        <w:t xml:space="preserve">У невеликих громадах із розпорошеним населенням видатки на адміністрування (утримання сільської ради, старостатів, ЦНАПів) займають значну частку бюджету. Це залишає мінімальний ресурс на бюджет розвитку, тобто на будівництво нових об’єктів чи капітальні ремонти. Наразі, громада не має великого платника податків, який би забезпечував її стабільний фінансовий фундамент. Низька самодостатність обмежує </w:t>
      </w:r>
      <w:r>
        <w:rPr>
          <w:rFonts w:ascii="Times New Roman" w:eastAsia="Times New Roman" w:hAnsi="Times New Roman"/>
          <w:bCs/>
          <w:sz w:val="28"/>
          <w:szCs w:val="28"/>
          <w:lang w:val="uk-UA" w:eastAsia="ru-RU"/>
        </w:rPr>
        <w:t>можливість співфінансування</w:t>
      </w:r>
      <w:r>
        <w:rPr>
          <w:rFonts w:ascii="Times New Roman" w:eastAsia="Times New Roman" w:hAnsi="Times New Roman"/>
          <w:sz w:val="28"/>
          <w:szCs w:val="28"/>
          <w:lang w:val="uk-UA" w:eastAsia="ru-RU"/>
        </w:rPr>
        <w:t xml:space="preserve"> міжнародних проектів. Більшість європейських грантів вимагають 10–20% внеску з місцевого бюджету, якого громаді часто бракує.</w:t>
      </w:r>
    </w:p>
    <w:p w:rsidR="00227FEF" w:rsidRDefault="00494B9D" w:rsidP="000605DF">
      <w:pPr>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Слабкою стороною є і відсутність підготовлених інвестиційних майданчиків. Цей фактор є стримуючим для залучення капіталу та створення нових робочих місць у промисловому та логістичному секторах громади. У громаді фактично відсутні </w:t>
      </w:r>
      <w:r>
        <w:rPr>
          <w:rFonts w:ascii="Times New Roman" w:eastAsia="Times New Roman" w:hAnsi="Times New Roman"/>
          <w:sz w:val="28"/>
          <w:szCs w:val="28"/>
          <w:lang w:val="uk-UA" w:eastAsia="ru-RU"/>
        </w:rPr>
        <w:lastRenderedPageBreak/>
        <w:t>готові інвестиційні майданчики типу Greenfield (земельні ділянки під забудову) або Brownfield (покинуті промислові об’єкти), які б мали необхідні ліміти електроенергії, під’їзні шляхи для великовагового транспорту та системи водопостачання та водовідведення. Це робить громаду неконкурентоспроможною у порівнянні з прикордонними ОТГ, які пропонують інвесторам готові промислові зони.</w:t>
      </w:r>
    </w:p>
    <w:p w:rsidR="00227FEF" w:rsidRDefault="00494B9D">
      <w:pPr>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Через складний гірський рельєф та вузьку мережу доріг місцевого значення, виділення великих площ під логістичні хаби або склади є ускладненим. Відсутність резервування земельних ділянок під ці цілі в попередні періоди призвела до хаотичного землекористування, що унеможливлює швидке розгортання виробничих потужностей.</w:t>
      </w:r>
    </w:p>
    <w:p w:rsidR="00227FEF" w:rsidRDefault="00494B9D" w:rsidP="000605DF">
      <w:pPr>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На даному етапі в громаді не розроблено концепцію створення індустріального чи логістичного парку, що позбавляє її можливості претендувати на державне фінансування будівництва інфраструктури. Без наявності чітко визначених та юридично оформлених інвестиційних паспортів ділянок громада програє боротьбу за релокований бізнес та іноземні інвестиції. Оскільки громада не пропонує готових майданчиків, потенційний інвестор змушений самостійно вирішувати питання зміни цільового призначення землі, будівництва доріг та прокладання мереж. Це створює «високий поріг входу», який відлякує малий та середній виробничий бізнес, спрямовуючи його в більш підготовлені регіони області.</w:t>
      </w:r>
    </w:p>
    <w:p w:rsidR="00227FEF" w:rsidRDefault="00494B9D" w:rsidP="001A0378">
      <w:pPr>
        <w:ind w:firstLine="708"/>
        <w:jc w:val="both"/>
        <w:rPr>
          <w:rFonts w:ascii="Times New Roman" w:eastAsia="Calibri" w:hAnsi="Times New Roman"/>
          <w:sz w:val="28"/>
          <w:szCs w:val="28"/>
          <w:lang w:val="uk-UA" w:eastAsia="en-US"/>
        </w:rPr>
      </w:pPr>
      <w:r>
        <w:rPr>
          <w:rFonts w:ascii="Times New Roman" w:eastAsia="Calibri" w:hAnsi="Times New Roman"/>
          <w:b/>
          <w:sz w:val="28"/>
          <w:szCs w:val="28"/>
          <w:lang w:val="uk-UA" w:eastAsia="en-US"/>
        </w:rPr>
        <w:t xml:space="preserve">5. Соціальна інфраструктура. </w:t>
      </w:r>
      <w:r>
        <w:rPr>
          <w:rFonts w:ascii="Times New Roman" w:eastAsia="Calibri" w:hAnsi="Times New Roman"/>
          <w:sz w:val="28"/>
          <w:szCs w:val="28"/>
          <w:lang w:val="uk-UA" w:eastAsia="en-US"/>
        </w:rPr>
        <w:t>Слабкі сторони в соціальній сфері створюють відчуття розриву між якістю життя в місті та в громаді. Відчутною є зношеність матеріально-технічної бази. Частина закладів загальної середньої та дошкільної освіти, приміщень клубів була побудована кілька десятиліть тому, у зв’язку з чим потребують не просто косметичного ремонту, а повної термомодернізації та оновлення систем опалення для зменшення витрат з бюджету. Хоча мережа шкіл збережена (11 закладів загальної середньої освіти), все ж спостерігається нестача сучасного обладнання для кабінетів природничого циклу (STEM-лабораторії), що важливо для підготовки конкурентоспроможних випускників.</w:t>
      </w:r>
    </w:p>
    <w:p w:rsidR="00227FEF" w:rsidRPr="005E48D4" w:rsidRDefault="00494B9D" w:rsidP="001B0CBC">
      <w:pPr>
        <w:ind w:firstLine="708"/>
        <w:jc w:val="both"/>
        <w:rPr>
          <w:lang w:val="uk-UA"/>
        </w:rPr>
      </w:pPr>
      <w:r>
        <w:rPr>
          <w:rFonts w:ascii="Times New Roman" w:eastAsia="Calibri" w:hAnsi="Times New Roman"/>
          <w:sz w:val="28"/>
          <w:szCs w:val="28"/>
          <w:lang w:val="uk-UA" w:eastAsia="en-US"/>
        </w:rPr>
        <w:t xml:space="preserve">У громаді відсутні сучасні центри дозвілля, молодіжні хаби або коворкінги, де мешканці могли б збиратися для обговорення ідей чи соціальної активності.  </w:t>
      </w:r>
    </w:p>
    <w:p w:rsidR="00227FEF" w:rsidRDefault="00227FEF">
      <w:pPr>
        <w:jc w:val="both"/>
        <w:rPr>
          <w:rFonts w:ascii="Times New Roman" w:eastAsia="Calibri" w:hAnsi="Times New Roman"/>
          <w:sz w:val="28"/>
          <w:szCs w:val="28"/>
          <w:lang w:val="uk-UA" w:eastAsia="en-US"/>
        </w:rPr>
      </w:pPr>
    </w:p>
    <w:p w:rsidR="00227FEF" w:rsidRPr="005E48D4" w:rsidRDefault="00494B9D" w:rsidP="001A0378">
      <w:pPr>
        <w:ind w:firstLine="708"/>
        <w:jc w:val="both"/>
        <w:rPr>
          <w:lang w:val="ru-RU"/>
        </w:rPr>
      </w:pPr>
      <w:r>
        <w:rPr>
          <w:rFonts w:ascii="Times New Roman" w:eastAsia="Calibri" w:hAnsi="Times New Roman"/>
          <w:b/>
          <w:sz w:val="28"/>
          <w:szCs w:val="28"/>
          <w:lang w:val="uk-UA" w:eastAsia="en-US"/>
        </w:rPr>
        <w:t xml:space="preserve">6. Соціально-комунікаційні та ландшафтні ризики. </w:t>
      </w:r>
      <w:r>
        <w:rPr>
          <w:rFonts w:ascii="Times New Roman" w:eastAsia="Times New Roman" w:hAnsi="Times New Roman"/>
          <w:sz w:val="28"/>
          <w:szCs w:val="24"/>
          <w:lang w:val="uk-UA" w:eastAsia="ru-RU"/>
        </w:rPr>
        <w:t xml:space="preserve">Ця група слабких сторін включає вразливість громади перед потенційними конфліктами, що виникають на стику економічних інтересів інвесторів, екологічних стандартів та суспільних настроїв мешканців. Висока ймовірність виникнення соціальної напруги через плани промислового освоєння високогір’я (зокрема, встановлення вітрових електростанцій на Полонині Руна). Спротив з боку місцевих мешканців та еко-захисних організацій зумовлений побоюваннями щодо незворотного впливу на екосистему та традиційні форми господарювання. Ризик втрати унікальної ідентичності громади як центру екологічного та бальнеологічного туризму. Зміна автентичного ландшафту полонин внаслідок промислової забудови може спровокувати відтік цільової аудиторії туристів, які цінують первозданну природу, що негативно вплине на доходи місцевого малого бізнесу. </w:t>
      </w:r>
    </w:p>
    <w:p w:rsidR="00227FEF" w:rsidRDefault="00494B9D" w:rsidP="00D91BFF">
      <w:pPr>
        <w:ind w:firstLine="708"/>
        <w:jc w:val="both"/>
        <w:rPr>
          <w:rFonts w:ascii="Times New Roman" w:eastAsia="Times New Roman" w:hAnsi="Times New Roman"/>
          <w:sz w:val="28"/>
          <w:szCs w:val="24"/>
          <w:lang w:val="uk-UA" w:eastAsia="ru-RU"/>
        </w:rPr>
      </w:pPr>
      <w:r>
        <w:rPr>
          <w:rFonts w:ascii="Times New Roman" w:eastAsia="Times New Roman" w:hAnsi="Times New Roman"/>
          <w:sz w:val="28"/>
          <w:szCs w:val="24"/>
          <w:lang w:val="uk-UA" w:eastAsia="ru-RU"/>
        </w:rPr>
        <w:lastRenderedPageBreak/>
        <w:t>Потенційне соціальне напруження та супротив мешканців або еко-захисників планам щодо встановлення вітрових електростанцій (ВЕС) на високогір’ях. Відсутність досвіду та інструментів для врегулювання суперечок між інвесторами та громадою, що може призвести до тривалих судових позовів та блокування стратегічних проектів. Побоювання втрати автентичного ландшафту та зниження привабливості громади для еко-туризму внаслідок промислового освоєння полонин. Ці ризики потребують розробки плану комунікаційної стратегії та залучення незалежних екологічних експертів для мінімізації конфліктів.</w:t>
      </w:r>
    </w:p>
    <w:p w:rsidR="00227FEF" w:rsidRDefault="00494B9D" w:rsidP="00D91BFF">
      <w:pPr>
        <w:ind w:firstLine="708"/>
        <w:jc w:val="both"/>
        <w:rPr>
          <w:rFonts w:ascii="Times New Roman" w:eastAsia="Calibri" w:hAnsi="Times New Roman"/>
          <w:sz w:val="28"/>
          <w:szCs w:val="28"/>
          <w:lang w:val="uk-UA" w:eastAsia="en-US"/>
        </w:rPr>
      </w:pPr>
      <w:r>
        <w:rPr>
          <w:rFonts w:ascii="Times New Roman" w:eastAsia="Calibri" w:hAnsi="Times New Roman"/>
          <w:sz w:val="28"/>
          <w:szCs w:val="28"/>
          <w:lang w:val="uk-UA" w:eastAsia="en-US"/>
        </w:rPr>
        <w:t>Слабкі сторони Тур’є-Реметівської ОТГ є типовими для «перехідного» періоду децентралізації. Громада має значну залежність від державних дотацій та сировинної моделі економіки, що підкріплюється високим рівнем тінізації туризму та відтоком працездатного населення. Головними бар’єрами для розвитку залишаються зношена інженерна інфраструктура, незадовільний стан доріг, що стримує прихід інвесторів.</w:t>
      </w:r>
    </w:p>
    <w:p w:rsidR="00227FEF" w:rsidRDefault="00227FEF">
      <w:pPr>
        <w:jc w:val="both"/>
        <w:rPr>
          <w:rFonts w:ascii="Times New Roman" w:eastAsia="Calibri" w:hAnsi="Times New Roman"/>
          <w:sz w:val="28"/>
          <w:szCs w:val="28"/>
          <w:lang w:val="uk-UA" w:eastAsia="en-US"/>
        </w:rPr>
      </w:pPr>
    </w:p>
    <w:p w:rsidR="00227FEF" w:rsidRDefault="00227FEF">
      <w:pPr>
        <w:jc w:val="both"/>
        <w:rPr>
          <w:rFonts w:ascii="Times New Roman" w:eastAsia="Calibri" w:hAnsi="Times New Roman"/>
          <w:sz w:val="28"/>
          <w:szCs w:val="28"/>
          <w:lang w:val="uk-UA" w:eastAsia="en-US"/>
        </w:rPr>
      </w:pPr>
    </w:p>
    <w:p w:rsidR="00227FEF" w:rsidRDefault="00494B9D" w:rsidP="001A0378">
      <w:pPr>
        <w:ind w:firstLine="708"/>
        <w:jc w:val="both"/>
        <w:rPr>
          <w:rFonts w:ascii="Times New Roman" w:eastAsia="Calibri" w:hAnsi="Times New Roman"/>
          <w:sz w:val="28"/>
          <w:szCs w:val="28"/>
          <w:lang w:val="uk-UA" w:eastAsia="en-US"/>
        </w:rPr>
      </w:pPr>
      <w:r>
        <w:rPr>
          <w:rFonts w:ascii="Times New Roman" w:eastAsia="Calibri" w:hAnsi="Times New Roman"/>
          <w:b/>
          <w:caps/>
          <w:sz w:val="28"/>
          <w:szCs w:val="22"/>
          <w:lang w:val="uk-UA" w:eastAsia="en-US"/>
        </w:rPr>
        <w:t>ІІІ. Можливості (</w:t>
      </w:r>
      <w:r>
        <w:rPr>
          <w:rFonts w:ascii="Times New Roman" w:eastAsia="Calibri" w:hAnsi="Times New Roman"/>
          <w:b/>
          <w:caps/>
          <w:sz w:val="28"/>
          <w:szCs w:val="22"/>
          <w:lang w:val="ru-RU" w:eastAsia="en-US"/>
        </w:rPr>
        <w:t>Opportunities</w:t>
      </w:r>
      <w:r>
        <w:rPr>
          <w:rFonts w:ascii="Times New Roman" w:eastAsia="Calibri" w:hAnsi="Times New Roman"/>
          <w:b/>
          <w:caps/>
          <w:sz w:val="28"/>
          <w:szCs w:val="22"/>
          <w:lang w:val="uk-UA" w:eastAsia="en-US"/>
        </w:rPr>
        <w:t>)</w:t>
      </w:r>
    </w:p>
    <w:p w:rsidR="00227FEF" w:rsidRDefault="00494B9D" w:rsidP="000605DF">
      <w:pPr>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В цей блок віднесено зовнішні чинники та тренди, які громада може використати для подолання своїх слабких сторін і здійснення економічного прориву.</w:t>
      </w:r>
    </w:p>
    <w:p w:rsidR="00227FEF" w:rsidRPr="005E48D4" w:rsidRDefault="00494B9D" w:rsidP="001A0378">
      <w:pPr>
        <w:ind w:firstLine="708"/>
        <w:jc w:val="both"/>
        <w:rPr>
          <w:lang w:val="ru-RU"/>
        </w:rPr>
      </w:pPr>
      <w:r>
        <w:rPr>
          <w:rFonts w:ascii="Times New Roman" w:eastAsia="Times New Roman" w:hAnsi="Times New Roman"/>
          <w:b/>
          <w:sz w:val="28"/>
          <w:szCs w:val="28"/>
          <w:lang w:val="uk-UA" w:eastAsia="ru-RU"/>
        </w:rPr>
        <w:t>1</w:t>
      </w:r>
      <w:r>
        <w:rPr>
          <w:rFonts w:ascii="Times New Roman" w:eastAsia="Times New Roman" w:hAnsi="Times New Roman"/>
          <w:sz w:val="28"/>
          <w:szCs w:val="28"/>
          <w:lang w:val="uk-UA" w:eastAsia="ru-RU"/>
        </w:rPr>
        <w:t xml:space="preserve">. </w:t>
      </w:r>
      <w:r>
        <w:rPr>
          <w:rFonts w:ascii="Times New Roman" w:eastAsia="Times New Roman" w:hAnsi="Times New Roman"/>
          <w:b/>
          <w:bCs/>
          <w:sz w:val="28"/>
          <w:szCs w:val="28"/>
          <w:lang w:val="uk-UA" w:eastAsia="ru-RU"/>
        </w:rPr>
        <w:t>Євроінтеграційні перспективи та грантова підтримка.</w:t>
      </w:r>
      <w:r>
        <w:rPr>
          <w:rFonts w:ascii="Times New Roman" w:eastAsia="Times New Roman" w:hAnsi="Times New Roman"/>
          <w:sz w:val="28"/>
          <w:szCs w:val="28"/>
          <w:lang w:val="uk-UA" w:eastAsia="ru-RU"/>
        </w:rPr>
        <w:t xml:space="preserve"> Завдяки статусу кандидата України в ЄС та географічній близькості до кордонів, перед громадою відкритий доступ до програм транскордонного співробітництва, доступ до структурних фондів та спеціалізованих програм, які орієнтовані саме на розвиток сільських та гірських територій. Це шлях до фінансування екологічних та інфраструктурних проєктів без навантаження на місцевий бюджет. </w:t>
      </w:r>
    </w:p>
    <w:p w:rsidR="00227FEF" w:rsidRPr="005E48D4" w:rsidRDefault="00494B9D">
      <w:pPr>
        <w:jc w:val="both"/>
        <w:rPr>
          <w:lang w:val="uk-UA"/>
        </w:rPr>
      </w:pPr>
      <w:r>
        <w:rPr>
          <w:rFonts w:ascii="Times New Roman" w:eastAsia="Times New Roman" w:hAnsi="Times New Roman"/>
          <w:sz w:val="28"/>
          <w:szCs w:val="28"/>
          <w:lang w:val="uk-UA" w:eastAsia="ru-RU"/>
        </w:rPr>
        <w:t xml:space="preserve">Завдяки географічному положенню в прикордонній зоні, громада має пріоритетний доступ до програм </w:t>
      </w:r>
      <w:r>
        <w:rPr>
          <w:rFonts w:ascii="Times New Roman" w:eastAsia="Times New Roman" w:hAnsi="Times New Roman"/>
          <w:bCs/>
          <w:sz w:val="28"/>
          <w:szCs w:val="28"/>
          <w:lang w:val="uk-UA" w:eastAsia="ru-RU"/>
        </w:rPr>
        <w:t>Interreg NEXT «Польща – Україна»</w:t>
      </w:r>
      <w:r>
        <w:rPr>
          <w:rFonts w:ascii="Times New Roman" w:eastAsia="Times New Roman" w:hAnsi="Times New Roman"/>
          <w:sz w:val="28"/>
          <w:szCs w:val="28"/>
          <w:lang w:val="uk-UA" w:eastAsia="ru-RU"/>
        </w:rPr>
        <w:t xml:space="preserve"> та </w:t>
      </w:r>
      <w:r>
        <w:rPr>
          <w:rFonts w:ascii="Times New Roman" w:eastAsia="Times New Roman" w:hAnsi="Times New Roman"/>
          <w:bCs/>
          <w:sz w:val="28"/>
          <w:szCs w:val="28"/>
          <w:lang w:val="uk-UA" w:eastAsia="ru-RU"/>
        </w:rPr>
        <w:t>«Угорщина – Словаччина – Румунія – Україна»</w:t>
      </w:r>
      <w:r>
        <w:rPr>
          <w:rFonts w:ascii="Times New Roman" w:eastAsia="Times New Roman" w:hAnsi="Times New Roman"/>
          <w:sz w:val="28"/>
          <w:szCs w:val="28"/>
          <w:lang w:val="uk-UA" w:eastAsia="ru-RU"/>
        </w:rPr>
        <w:t>. Можливість отримання фінансування (до 90% вартості проєкту) на будівництво очисних споруд, каналізаційних мереж та ремонт доріг, що з’єднують туристичні локації. У таких проєктах діє с</w:t>
      </w:r>
      <w:r>
        <w:rPr>
          <w:rFonts w:ascii="Times New Roman" w:eastAsia="Times New Roman" w:hAnsi="Times New Roman"/>
          <w:bCs/>
          <w:sz w:val="28"/>
          <w:szCs w:val="28"/>
          <w:lang w:val="uk-UA" w:eastAsia="ru-RU"/>
        </w:rPr>
        <w:t>пільний захист довкілля, на основі яких видаються г</w:t>
      </w:r>
      <w:r>
        <w:rPr>
          <w:rFonts w:ascii="Times New Roman" w:eastAsia="Times New Roman" w:hAnsi="Times New Roman"/>
          <w:sz w:val="28"/>
          <w:szCs w:val="28"/>
          <w:lang w:val="uk-UA" w:eastAsia="ru-RU"/>
        </w:rPr>
        <w:t>ранти на збереження біорізноманіття Смарагдової мережі та заходи з протипаводкового захисту в басейні річок Тур’я та Туриця. Задля збереження культурної спадщини можлива реалізація спільних з європейськими партнерами проєктів з реставрації історичних об’єктів (наприклад, спадщини чавуноливарного заводу) та створення транскордонних туристичних маршрутів.</w:t>
      </w:r>
    </w:p>
    <w:p w:rsidR="00227FEF" w:rsidRDefault="00494B9D" w:rsidP="000605DF">
      <w:pPr>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Європейський союз активно фінансує екологічні ініціативи (програма LIFE та «Зелений курс» (EU Green Deal). Для громади це шанс для: створення муніципальних центрів управління відходами (сортування, компостування), що вирішить проблему стихійних сміттєзвалищ; перехід муніципальних установ (шкіл, садочків) на відновлювані джерела енергії (сонячні панелі, теплові насоси) за кошти європейських фондів.</w:t>
      </w:r>
    </w:p>
    <w:p w:rsidR="00227FEF" w:rsidRPr="005E48D4" w:rsidRDefault="00494B9D" w:rsidP="000605DF">
      <w:pPr>
        <w:ind w:firstLine="708"/>
        <w:jc w:val="both"/>
        <w:rPr>
          <w:lang w:val="ru-RU"/>
        </w:rPr>
      </w:pPr>
      <w:r>
        <w:rPr>
          <w:rFonts w:ascii="Times New Roman" w:eastAsia="Times New Roman" w:hAnsi="Times New Roman"/>
          <w:sz w:val="28"/>
          <w:szCs w:val="28"/>
          <w:lang w:val="uk-UA" w:eastAsia="ru-RU"/>
        </w:rPr>
        <w:t xml:space="preserve">Через підтримку сільського господарства та фермерства (IPARD) передвступна допомога ЄС спрямована на </w:t>
      </w:r>
      <w:r>
        <w:rPr>
          <w:rFonts w:ascii="Times New Roman" w:eastAsia="Times New Roman" w:hAnsi="Times New Roman"/>
          <w:bCs/>
          <w:sz w:val="28"/>
          <w:szCs w:val="28"/>
          <w:lang w:val="uk-UA" w:eastAsia="ru-RU"/>
        </w:rPr>
        <w:t>модернізацію ферм, коли можна отримати г</w:t>
      </w:r>
      <w:r>
        <w:rPr>
          <w:rFonts w:ascii="Times New Roman" w:eastAsia="Times New Roman" w:hAnsi="Times New Roman"/>
          <w:sz w:val="28"/>
          <w:szCs w:val="28"/>
          <w:lang w:val="uk-UA" w:eastAsia="ru-RU"/>
        </w:rPr>
        <w:t xml:space="preserve">ранти для місцевих мешканців на створення малих переробних цехів (сироварні, сушіння ягід </w:t>
      </w:r>
      <w:r>
        <w:rPr>
          <w:rFonts w:ascii="Times New Roman" w:eastAsia="Times New Roman" w:hAnsi="Times New Roman"/>
          <w:sz w:val="28"/>
          <w:szCs w:val="28"/>
          <w:lang w:val="uk-UA" w:eastAsia="ru-RU"/>
        </w:rPr>
        <w:lastRenderedPageBreak/>
        <w:t>та грибів), що дозволить виходити на ринок ЄС з готовою продукцією, а також на р</w:t>
      </w:r>
      <w:r>
        <w:rPr>
          <w:rFonts w:ascii="Times New Roman" w:eastAsia="Times New Roman" w:hAnsi="Times New Roman"/>
          <w:bCs/>
          <w:sz w:val="28"/>
          <w:szCs w:val="28"/>
          <w:lang w:val="uk-UA" w:eastAsia="ru-RU"/>
        </w:rPr>
        <w:t>озвиток агротуризму через п</w:t>
      </w:r>
      <w:r>
        <w:rPr>
          <w:rFonts w:ascii="Times New Roman" w:eastAsia="Times New Roman" w:hAnsi="Times New Roman"/>
          <w:sz w:val="28"/>
          <w:szCs w:val="28"/>
          <w:lang w:val="uk-UA" w:eastAsia="ru-RU"/>
        </w:rPr>
        <w:t>ідтримку сертифікації «зелених садиб» за європейськими стандартами якості.</w:t>
      </w:r>
    </w:p>
    <w:p w:rsidR="00227FEF" w:rsidRPr="005E48D4" w:rsidRDefault="00494B9D" w:rsidP="000605DF">
      <w:pPr>
        <w:ind w:firstLine="708"/>
        <w:jc w:val="both"/>
        <w:rPr>
          <w:lang w:val="uk-UA"/>
        </w:rPr>
      </w:pPr>
      <w:r>
        <w:rPr>
          <w:rFonts w:ascii="Times New Roman" w:eastAsia="Times New Roman" w:hAnsi="Times New Roman"/>
          <w:sz w:val="28"/>
          <w:szCs w:val="28"/>
          <w:lang w:val="uk-UA" w:eastAsia="ru-RU"/>
        </w:rPr>
        <w:t xml:space="preserve">Впровадження європейського підходу </w:t>
      </w:r>
      <w:r>
        <w:rPr>
          <w:rFonts w:ascii="Times New Roman" w:eastAsia="Times New Roman" w:hAnsi="Times New Roman"/>
          <w:bCs/>
          <w:sz w:val="28"/>
          <w:szCs w:val="28"/>
          <w:lang w:val="uk-UA" w:eastAsia="ru-RU"/>
        </w:rPr>
        <w:t>LEADER</w:t>
      </w:r>
      <w:r>
        <w:rPr>
          <w:rFonts w:ascii="Times New Roman" w:eastAsia="Times New Roman" w:hAnsi="Times New Roman"/>
          <w:sz w:val="28"/>
          <w:szCs w:val="28"/>
          <w:lang w:val="uk-UA" w:eastAsia="ru-RU"/>
        </w:rPr>
        <w:t xml:space="preserve"> (зв’язок між діями з розвитку сільської економіки) через створення Місцевої ініціативної групи (МІГ). Це дає змогу мешканцям самостійно визначати пріоритети фінансування мікропроєктів (від дитячих майданчиків до локальних музеїв), що підвищує соціальну згуртованість.</w:t>
      </w:r>
    </w:p>
    <w:p w:rsidR="00227FEF" w:rsidRPr="005E48D4" w:rsidRDefault="00494B9D">
      <w:pPr>
        <w:jc w:val="both"/>
        <w:rPr>
          <w:lang w:val="ru-RU"/>
        </w:rPr>
      </w:pPr>
      <w:r>
        <w:rPr>
          <w:rFonts w:ascii="Times New Roman" w:eastAsia="Times New Roman" w:hAnsi="Times New Roman"/>
          <w:bCs/>
          <w:sz w:val="28"/>
          <w:szCs w:val="28"/>
          <w:lang w:val="uk-UA" w:eastAsia="ru-RU"/>
        </w:rPr>
        <w:t>Втілення таких проєктів для громади зменшить навантаження на бюджет, адже г</w:t>
      </w:r>
      <w:r>
        <w:rPr>
          <w:rFonts w:ascii="Times New Roman" w:eastAsia="Times New Roman" w:hAnsi="Times New Roman"/>
          <w:sz w:val="28"/>
          <w:szCs w:val="28"/>
          <w:lang w:val="uk-UA" w:eastAsia="ru-RU"/>
        </w:rPr>
        <w:t>ранти дозволяють реалізувати проєкти, на які в місцевому бюджеті знадобилося б 10–20 років накопичень. Це сприятиме п</w:t>
      </w:r>
      <w:r>
        <w:rPr>
          <w:rFonts w:ascii="Times New Roman" w:eastAsia="Times New Roman" w:hAnsi="Times New Roman"/>
          <w:bCs/>
          <w:sz w:val="28"/>
          <w:szCs w:val="28"/>
          <w:lang w:val="uk-UA" w:eastAsia="ru-RU"/>
        </w:rPr>
        <w:t>окращенню інвестиційного іміджу, позаяк г</w:t>
      </w:r>
      <w:r>
        <w:rPr>
          <w:rFonts w:ascii="Times New Roman" w:eastAsia="Times New Roman" w:hAnsi="Times New Roman"/>
          <w:sz w:val="28"/>
          <w:szCs w:val="28"/>
          <w:lang w:val="uk-UA" w:eastAsia="ru-RU"/>
        </w:rPr>
        <w:t>ромада, яка успішно реалізувала хоча б один європейський грант, стає «зрозумілою» та надійною для великих іноземних інвесторів. Окрім того, нові проєкти створюють робочі місця, що стимулює молодь залишатися в громаді.</w:t>
      </w:r>
    </w:p>
    <w:p w:rsidR="00227FEF" w:rsidRPr="005E48D4" w:rsidRDefault="00494B9D" w:rsidP="000605DF">
      <w:pPr>
        <w:ind w:firstLine="708"/>
        <w:jc w:val="both"/>
        <w:rPr>
          <w:lang w:val="ru-RU"/>
        </w:rPr>
      </w:pPr>
      <w:r>
        <w:rPr>
          <w:rFonts w:ascii="Times New Roman" w:eastAsia="Times New Roman" w:hAnsi="Times New Roman"/>
          <w:sz w:val="28"/>
          <w:szCs w:val="28"/>
          <w:lang w:val="uk-UA" w:eastAsia="ru-RU"/>
        </w:rPr>
        <w:t xml:space="preserve">Реалізація цих можливостей безпосередньо залежить від подолання слабкої сторони </w:t>
      </w:r>
      <w:r>
        <w:rPr>
          <w:rFonts w:ascii="Symbol" w:eastAsia="Symbol" w:hAnsi="Symbol" w:cs="Symbol"/>
          <w:sz w:val="28"/>
          <w:szCs w:val="28"/>
          <w:lang w:val="uk-UA" w:eastAsia="ru-RU"/>
        </w:rPr>
        <w:sym w:font="Symbol" w:char="F02D"/>
      </w:r>
      <w:r>
        <w:rPr>
          <w:rFonts w:ascii="Times New Roman" w:eastAsia="Times New Roman" w:hAnsi="Times New Roman"/>
          <w:sz w:val="28"/>
          <w:szCs w:val="28"/>
          <w:lang w:val="uk-UA" w:eastAsia="ru-RU"/>
        </w:rPr>
        <w:t xml:space="preserve"> </w:t>
      </w:r>
      <w:r>
        <w:rPr>
          <w:rFonts w:ascii="Times New Roman" w:eastAsia="Times New Roman" w:hAnsi="Times New Roman"/>
          <w:bCs/>
          <w:sz w:val="28"/>
          <w:szCs w:val="28"/>
          <w:lang w:val="uk-UA" w:eastAsia="ru-RU"/>
        </w:rPr>
        <w:t>браку фахівців із написання грантових заявок</w:t>
      </w:r>
      <w:r>
        <w:rPr>
          <w:rFonts w:ascii="Times New Roman" w:eastAsia="Times New Roman" w:hAnsi="Times New Roman"/>
          <w:sz w:val="28"/>
          <w:szCs w:val="28"/>
          <w:lang w:val="uk-UA" w:eastAsia="ru-RU"/>
        </w:rPr>
        <w:t>. Тому стратегічним кроком має бути створення відділу проєктного менеджменту в структурах сільських рад.</w:t>
      </w:r>
    </w:p>
    <w:p w:rsidR="00227FEF" w:rsidRPr="005E48D4" w:rsidRDefault="00494B9D" w:rsidP="001A0378">
      <w:pPr>
        <w:ind w:firstLine="708"/>
        <w:jc w:val="both"/>
        <w:rPr>
          <w:lang w:val="uk-UA"/>
        </w:rPr>
      </w:pPr>
      <w:r>
        <w:rPr>
          <w:rFonts w:ascii="Times New Roman" w:eastAsia="Times New Roman" w:hAnsi="Times New Roman"/>
          <w:b/>
          <w:sz w:val="28"/>
          <w:szCs w:val="28"/>
          <w:lang w:val="uk-UA" w:eastAsia="ru-RU"/>
        </w:rPr>
        <w:t xml:space="preserve">2. Розвиток відновлюваної енергетики та енергонезалежність. </w:t>
      </w:r>
      <w:r>
        <w:rPr>
          <w:rFonts w:ascii="Times New Roman" w:eastAsia="Times New Roman" w:hAnsi="Times New Roman"/>
          <w:sz w:val="28"/>
          <w:szCs w:val="28"/>
          <w:lang w:val="uk-UA" w:eastAsia="ru-RU"/>
        </w:rPr>
        <w:t>Розвиток відновлюваної енергетики (ВДЕ) є однією з найбільш перспективних можливостей для Тур’є-Реметівської громади, оскільки він дозволяє конвертувати природні особливості регіону в енергетичну безпеку та фінансову стабільність. Впровадження проєктів «зеленої» енергетики дозволить громаді трансформуватися з енергоспоживача у виробника, мінімізуючи ризики, пов’язані з дефіцитом потужностей у загальнодержавній мережі.</w:t>
      </w:r>
    </w:p>
    <w:p w:rsidR="00227FEF" w:rsidRDefault="00494B9D" w:rsidP="000605DF">
      <w:pPr>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Високогірні території громади (зокрема масив Полонини Руна) мають одні з найвищих показників швидкості вітру в регіоні, що робить їх привабливими для будівництва вітрових електростанцій. Оренда земельних ділянок під вітряки та надходження ПДФО від обслуговуючих компаній можуть стати вагомим джерелом наповнення місцевого бюджету. Громадиа отримає інфраструктурні бонуси, так я зазвичай інвестори у ВДЕ беруть на себе зобов’язання щодо ремонту під’їзних доріг та зміцнення електромереж, що вигідно громаді.</w:t>
      </w:r>
    </w:p>
    <w:p w:rsidR="00227FEF" w:rsidRDefault="00494B9D" w:rsidP="000605DF">
      <w:pPr>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Наявність мережі гірських річок з високим перепадом висот дозволяє розглядати встановлення сучасних дериваційних міні-ГЕС, які мають мінімальний вплив на довкілля, але забезпечують локальні потреби в електриці. Не менш важливою є сонячна генерація. Встановлення сонячних панелей на дахах комунальних закладів (шкіл, лікарень, адмінбудівель) у поєднанні з системами накопичення енергії (акумуляторами) гарантуватиме роботу критичної інфраструктури під час блекаутів. </w:t>
      </w:r>
    </w:p>
    <w:p w:rsidR="00227FEF" w:rsidRDefault="00494B9D" w:rsidP="000605DF">
      <w:pPr>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Оскільки громада має потужний лісогосподарський сектор, існує можливість використання відходів деревообробки (тріски, тирси) для виробництва теплової енергії. Переведення котелень бюджетних установ на сучасні твердопаливні котли дозволить використовувати місцевий ресурс замість дорогого імпортного газу, залишаючи кошти всередині громади. Можливість об’єднання мешканців та місцевого бізнесу для спільного інвестування в об’єкти генерації. Це дозволить </w:t>
      </w:r>
      <w:r>
        <w:rPr>
          <w:rFonts w:ascii="Times New Roman" w:eastAsia="Times New Roman" w:hAnsi="Times New Roman"/>
          <w:sz w:val="28"/>
          <w:szCs w:val="28"/>
          <w:lang w:val="uk-UA" w:eastAsia="ru-RU"/>
        </w:rPr>
        <w:lastRenderedPageBreak/>
        <w:t>громадянам безпосередньо впливати на тарифи та отримувати дивіденди від продажу надлишків енергії в мережу. Реалізація великих енергетичних проєктів передбачає будівництво нових під’їзних шляхів та зміцнення електромереж. Ці об’єкти залишаться у власності громади та покращать логістику між віддаленими селами.</w:t>
      </w:r>
    </w:p>
    <w:p w:rsidR="00227FEF" w:rsidRPr="005E48D4" w:rsidRDefault="00494B9D" w:rsidP="000605DF">
      <w:pPr>
        <w:ind w:firstLine="708"/>
        <w:jc w:val="both"/>
        <w:rPr>
          <w:lang w:val="uk-UA"/>
        </w:rPr>
      </w:pPr>
      <w:r>
        <w:rPr>
          <w:rFonts w:ascii="Times New Roman" w:eastAsia="Times New Roman" w:hAnsi="Times New Roman"/>
          <w:sz w:val="28"/>
          <w:szCs w:val="28"/>
          <w:lang w:val="uk-UA" w:eastAsia="ru-RU"/>
        </w:rPr>
        <w:t xml:space="preserve">Ці можливості мають стратегічне значення для ОТГ, оскільки громада стає менш вразливою до віялових відключень та аварій на магістральних лініях; розвиток ВДЕ підсилює імідж «зеленої громади», що приваблює еко-свідомих туристів та європейських грантодавців. Проєкти відновлюваної енергетики </w:t>
      </w:r>
      <w:r>
        <w:rPr>
          <w:rFonts w:ascii="Symbol" w:eastAsia="Symbol" w:hAnsi="Symbol" w:cs="Symbol"/>
          <w:sz w:val="28"/>
          <w:szCs w:val="28"/>
          <w:lang w:val="uk-UA" w:eastAsia="ru-RU"/>
        </w:rPr>
        <w:sym w:font="Symbol" w:char="F02D"/>
      </w:r>
      <w:r>
        <w:rPr>
          <w:rFonts w:ascii="Times New Roman" w:eastAsia="Times New Roman" w:hAnsi="Times New Roman"/>
          <w:sz w:val="28"/>
          <w:szCs w:val="28"/>
          <w:lang w:val="uk-UA" w:eastAsia="ru-RU"/>
        </w:rPr>
        <w:t xml:space="preserve"> це зазвичай довгострокові капіталовкладення, які забезпечують стабільність податкових надходжень на десятиліття. Для успішного втілення цієї можливості громада має забезпечити прозорі громадські слухання та фахову екологічну експертизу, щоб нівелювати слабку сторону </w:t>
      </w:r>
      <w:r>
        <w:rPr>
          <w:rFonts w:ascii="Symbol" w:eastAsia="Symbol" w:hAnsi="Symbol" w:cs="Symbol"/>
          <w:sz w:val="28"/>
          <w:szCs w:val="28"/>
          <w:lang w:val="uk-UA" w:eastAsia="ru-RU"/>
        </w:rPr>
        <w:sym w:font="Symbol" w:char="F02D"/>
      </w:r>
      <w:r>
        <w:rPr>
          <w:rFonts w:ascii="Times New Roman" w:eastAsia="Times New Roman" w:hAnsi="Times New Roman"/>
          <w:sz w:val="28"/>
          <w:szCs w:val="28"/>
          <w:lang w:val="uk-UA" w:eastAsia="ru-RU"/>
        </w:rPr>
        <w:t xml:space="preserve"> ризик соціальних конфліктів.</w:t>
      </w:r>
    </w:p>
    <w:p w:rsidR="00227FEF" w:rsidRPr="005E48D4" w:rsidRDefault="00494B9D" w:rsidP="001A0378">
      <w:pPr>
        <w:ind w:firstLine="708"/>
        <w:jc w:val="both"/>
        <w:rPr>
          <w:lang w:val="ru-RU"/>
        </w:rPr>
      </w:pPr>
      <w:r>
        <w:rPr>
          <w:rFonts w:ascii="Times New Roman" w:eastAsia="Times New Roman" w:hAnsi="Times New Roman"/>
          <w:b/>
          <w:sz w:val="28"/>
          <w:szCs w:val="28"/>
          <w:lang w:val="uk-UA" w:eastAsia="ru-RU"/>
        </w:rPr>
        <w:t xml:space="preserve">3. Трансформація туристичного ринку та формування рекреаційного хабу. </w:t>
      </w:r>
      <w:r>
        <w:rPr>
          <w:rFonts w:ascii="Times New Roman" w:eastAsia="Times New Roman" w:hAnsi="Times New Roman"/>
          <w:sz w:val="28"/>
          <w:szCs w:val="28"/>
          <w:lang w:val="uk-UA" w:eastAsia="ru-RU"/>
        </w:rPr>
        <w:t>Трансформація туристичного ринку в Україні після 2022 року кардинально змінила пріоритети мандрівників, змістивши фокус на безпеку, екологічність та психологічне відновлення. Для Тур’є-Реметівської громади це стратегічний шанс перетворити свої природні активи на високорентабельний рекреаційний продукт. Зміна споживчої поведінки українців та зростання запиту на внутрішній туризм створюють передумови для якісного стрибка громади від «сезонного відпочинку» до «всесезонного оздоровчого хабу».</w:t>
      </w:r>
    </w:p>
    <w:p w:rsidR="00227FEF" w:rsidRDefault="00494B9D" w:rsidP="000605DF">
      <w:pPr>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У контексті загальнодержавних потреб, громада має унікальні умови для розвитку медичної, психологічної реабілітації та ветеранської політики. Можливим є використання мінеральних вод та традиційних чанів (с. Лумшори) для фізичного відновлення військовослужбовців та цивільних, що постраждали від війни. Можливість залучення грантів та державних коштів для облаштування інклюзивних реабілітаційних просторів на базі існуючих чи релокованих закладів оздоровлення.</w:t>
      </w:r>
    </w:p>
    <w:p w:rsidR="00227FEF" w:rsidRPr="005E48D4" w:rsidRDefault="00494B9D">
      <w:pPr>
        <w:jc w:val="both"/>
        <w:rPr>
          <w:lang w:val="ru-RU"/>
        </w:rPr>
      </w:pPr>
      <w:r>
        <w:rPr>
          <w:rFonts w:ascii="Times New Roman" w:eastAsia="Times New Roman" w:hAnsi="Times New Roman"/>
          <w:sz w:val="28"/>
          <w:szCs w:val="28"/>
          <w:lang w:val="uk-UA" w:eastAsia="ru-RU"/>
        </w:rPr>
        <w:t>Тренд на «цифрову детоксикацію» та втечу від міського шуму робить села громади ідеальними локаціями для еко-відпочинку. Рентабелиними будуть г</w:t>
      </w:r>
      <w:r>
        <w:rPr>
          <w:rFonts w:ascii="Times New Roman" w:eastAsia="Times New Roman" w:hAnsi="Times New Roman"/>
          <w:bCs/>
          <w:sz w:val="28"/>
          <w:szCs w:val="28"/>
          <w:lang w:val="uk-UA" w:eastAsia="ru-RU"/>
        </w:rPr>
        <w:t>лемпінги та еко-садиби, с</w:t>
      </w:r>
      <w:r>
        <w:rPr>
          <w:rFonts w:ascii="Times New Roman" w:eastAsia="Times New Roman" w:hAnsi="Times New Roman"/>
          <w:sz w:val="28"/>
          <w:szCs w:val="28"/>
          <w:lang w:val="uk-UA" w:eastAsia="ru-RU"/>
        </w:rPr>
        <w:t>творення сучасних модульних містечок серед природи, які мають мінімальний вплив на довкілля, але забезпечують комфорт рівня «люкс». Облаштування мережі пішохідних, велосипедних та кінних маршрутів (наприклад, шлях до водоспадів чи на Полонину Руна) з інтерактивними елементами та QR-кодами.</w:t>
      </w:r>
    </w:p>
    <w:p w:rsidR="00227FEF" w:rsidRDefault="00494B9D" w:rsidP="000605DF">
      <w:pPr>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Локальна ідентичність «турян» може стати потужним магнітом для гурманів з розвитку гастрономічного та крафтового туризму. Популяризація унікальних страв, що створює додану вартість для місцевого громадського харчування. Підтримка дрібних фермерів у створенні дегустаційних залів (сири, мед, фіто-чаї), що дозволяє туристу не лише побачити природу, а й «спробувати її на смак».</w:t>
      </w:r>
    </w:p>
    <w:p w:rsidR="00227FEF" w:rsidRPr="005E48D4" w:rsidRDefault="00494B9D">
      <w:pPr>
        <w:jc w:val="both"/>
        <w:rPr>
          <w:lang w:val="uk-UA"/>
        </w:rPr>
      </w:pPr>
      <w:r>
        <w:rPr>
          <w:rFonts w:ascii="Times New Roman" w:eastAsia="Times New Roman" w:hAnsi="Times New Roman"/>
          <w:sz w:val="28"/>
          <w:szCs w:val="28"/>
          <w:lang w:val="uk-UA" w:eastAsia="ru-RU"/>
        </w:rPr>
        <w:t>Розвиток віддаленої роботи стимулює людей переїжджати в мальовничі регіони на тривалий термін. Все більш популярними стають к</w:t>
      </w:r>
      <w:r>
        <w:rPr>
          <w:rFonts w:ascii="Times New Roman" w:eastAsia="Times New Roman" w:hAnsi="Times New Roman"/>
          <w:bCs/>
          <w:sz w:val="28"/>
          <w:szCs w:val="28"/>
          <w:lang w:val="uk-UA" w:eastAsia="ru-RU"/>
        </w:rPr>
        <w:t>оворкінги в горах.</w:t>
      </w:r>
      <w:r>
        <w:rPr>
          <w:rFonts w:ascii="Times New Roman" w:eastAsia="Times New Roman" w:hAnsi="Times New Roman"/>
          <w:sz w:val="28"/>
          <w:szCs w:val="28"/>
          <w:lang w:val="uk-UA" w:eastAsia="ru-RU"/>
        </w:rPr>
        <w:t xml:space="preserve"> Облаштування місць з безперебійним інтернетом та автономним живленням (завдяки ВДЕ), що залучатиме ІТ-фахівців та креативний клас, які стануть постійними споживачами місцевих послуг.</w:t>
      </w:r>
    </w:p>
    <w:p w:rsidR="00227FEF" w:rsidRDefault="00494B9D" w:rsidP="000605DF">
      <w:pPr>
        <w:ind w:firstLine="708"/>
        <w:jc w:val="both"/>
        <w:rPr>
          <w:rFonts w:ascii="Times New Roman" w:eastAsia="Calibri" w:hAnsi="Times New Roman"/>
          <w:sz w:val="28"/>
          <w:szCs w:val="28"/>
          <w:lang w:val="uk-UA" w:eastAsia="en-US"/>
        </w:rPr>
      </w:pPr>
      <w:r>
        <w:rPr>
          <w:rFonts w:ascii="Times New Roman" w:eastAsia="Calibri" w:hAnsi="Times New Roman"/>
          <w:sz w:val="28"/>
          <w:szCs w:val="28"/>
          <w:lang w:val="uk-UA" w:eastAsia="en-US"/>
        </w:rPr>
        <w:lastRenderedPageBreak/>
        <w:t>Активний та подієвий туризм нового покоління має базуватися на організації заходів, що популяризують локальну культуру та гастрономію, залучаючи короткострокові, але масові туристичні потоки. Облаштування сертифікованих маршрутів для скайранінгу, гірського велосипеда та кінних прогулянок, що відповідають європейським стандартам безпеки та маркування.</w:t>
      </w:r>
    </w:p>
    <w:p w:rsidR="00227FEF" w:rsidRPr="005E48D4" w:rsidRDefault="000605DF" w:rsidP="000605DF">
      <w:pPr>
        <w:ind w:firstLine="708"/>
        <w:jc w:val="both"/>
        <w:rPr>
          <w:lang w:val="ru-RU"/>
        </w:rPr>
      </w:pPr>
      <w:r>
        <w:rPr>
          <w:rFonts w:ascii="Times New Roman" w:eastAsia="Times New Roman" w:hAnsi="Times New Roman"/>
          <w:sz w:val="28"/>
          <w:szCs w:val="28"/>
          <w:lang w:val="uk-UA" w:eastAsia="ru-RU"/>
        </w:rPr>
        <w:t>Для Тур’є-</w:t>
      </w:r>
      <w:r w:rsidR="00494B9D">
        <w:rPr>
          <w:rFonts w:ascii="Times New Roman" w:eastAsia="Times New Roman" w:hAnsi="Times New Roman"/>
          <w:sz w:val="28"/>
          <w:szCs w:val="28"/>
          <w:lang w:val="uk-UA" w:eastAsia="ru-RU"/>
        </w:rPr>
        <w:t xml:space="preserve">Реметівської громади перехід на бальнеологію та реабілітацію дозволить забезпечити потік туристів не лише влітку, а й у «низький» сезон (осінь – весна). Створення повноцінного хабу стимулюватиме власників садиб виходити з тіні, щоб стати частиною офіційних туристичних маршрутів та отримувати підтримку від громади. Розвиток еко-туризму створює економічний аргумент на користь захисту природи </w:t>
      </w:r>
      <w:r w:rsidR="00494B9D">
        <w:rPr>
          <w:rFonts w:ascii="Symbol" w:eastAsia="Symbol" w:hAnsi="Symbol" w:cs="Symbol"/>
          <w:sz w:val="28"/>
          <w:szCs w:val="28"/>
          <w:lang w:val="uk-UA" w:eastAsia="ru-RU"/>
        </w:rPr>
        <w:sym w:font="Symbol" w:char="F02D"/>
      </w:r>
      <w:r w:rsidR="00494B9D">
        <w:rPr>
          <w:rFonts w:ascii="Times New Roman" w:eastAsia="Times New Roman" w:hAnsi="Times New Roman"/>
          <w:sz w:val="28"/>
          <w:szCs w:val="28"/>
          <w:lang w:val="uk-UA" w:eastAsia="ru-RU"/>
        </w:rPr>
        <w:t xml:space="preserve"> громаді стає вигідніше зберігати ліс недоторканим, ніж використовувати його як сировину.</w:t>
      </w:r>
    </w:p>
    <w:p w:rsidR="00227FEF" w:rsidRDefault="00494B9D" w:rsidP="000605DF">
      <w:pPr>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Перетворення Тур’є-Реметівської ОТГ на потужний рекреаційний хаб є логічною відповіддю на зовнішні виклики та найбільш органічним шляхом розвитку, що базується на історичній та природній спадщині регіону.</w:t>
      </w:r>
    </w:p>
    <w:p w:rsidR="00227FEF" w:rsidRPr="005E48D4" w:rsidRDefault="00494B9D" w:rsidP="001A0378">
      <w:pPr>
        <w:ind w:firstLine="708"/>
        <w:jc w:val="both"/>
        <w:rPr>
          <w:lang w:val="ru-RU"/>
        </w:rPr>
      </w:pPr>
      <w:r>
        <w:rPr>
          <w:rFonts w:ascii="Times New Roman" w:eastAsia="Times New Roman" w:hAnsi="Times New Roman"/>
          <w:b/>
          <w:sz w:val="28"/>
          <w:szCs w:val="28"/>
          <w:lang w:val="uk-UA" w:eastAsia="ru-RU"/>
        </w:rPr>
        <w:t xml:space="preserve">4. Державна підтримка та релокація бізнесу. </w:t>
      </w:r>
      <w:r>
        <w:rPr>
          <w:rFonts w:ascii="Times New Roman" w:eastAsia="Times New Roman" w:hAnsi="Times New Roman"/>
          <w:sz w:val="28"/>
          <w:szCs w:val="28"/>
          <w:lang w:val="uk-UA" w:eastAsia="ru-RU"/>
        </w:rPr>
        <w:t xml:space="preserve">В умовах воєнного стану та повоєнного відновлення Тур’є-Реметівська громада може виступити надійним майданчиком для малого та середнього бізнесу, що потребує безпечних умов роботи та прямого доступу до сировинної бази. </w:t>
      </w:r>
    </w:p>
    <w:p w:rsidR="00227FEF" w:rsidRDefault="00494B9D" w:rsidP="000605DF">
      <w:pPr>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Законодавство України передбачає специфічні пільги для суб’єктів господарювання та мешканців у гірських населених пунктах, податкові та соціальні преференції. Можливість залучення фахівців через надбавки до заробітної плати, що частково компенсується державою, та використання спеціальних режимів оподаткування для певних видів діяльності. Державні субвенції на розвиток громади, пріоритетне фінансування проєктів соціальної інфраструктури через державні фонди, спрямовані на підтримку територій зі складними умовами розвитку.</w:t>
      </w:r>
    </w:p>
    <w:p w:rsidR="00227FEF" w:rsidRDefault="00494B9D" w:rsidP="000605DF">
      <w:pPr>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Громада може запропонувати безпечне середовище для підприємств, які евакуюються з прифронтових зон. Використання наявних вільних приміщень або територій колишніх господарських об’єктів для розміщення дрібного виробництва (швейна галузь, збірка електроніки, крафтова переробка тощо). Має бути спрощена дозвільна система та розробка муніципального пакету «швидкого старту» для релокованих підприємців (допомога з реєстрацією, пошуком житла для персоналу та підключенням до мереж). </w:t>
      </w:r>
    </w:p>
    <w:p w:rsidR="00227FEF" w:rsidRDefault="00494B9D" w:rsidP="000605DF">
      <w:pPr>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Участь у програмах Міністерства економіки (наприклад, «єРобота») для стимулювання створення переробних підприємств. Такими може бути глибока переробка деревини (перехід від експорту кругляка до виготовлення меблевих заготовок, паркету або будівельних матеріалів (CLT-панелей) за підтримки державних грантів); харчова переробка (створення цехів із заморозки, сушіння та консервування лісових ягід, грибів та лікарських трав, що дозволить громаді отримувати податки з готової продукції, а не з сировини) тощо.</w:t>
      </w:r>
    </w:p>
    <w:p w:rsidR="00227FEF" w:rsidRDefault="00494B9D" w:rsidP="000605DF">
      <w:pPr>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Участь громади у проєктах ДФРР та «Зроблено в Україні». Активна співпраця з Державним фондом регіонального розвитку для реалізації масштабних інфраструктурних проєктів. Зокрема, залучення державних коштів на капітальний </w:t>
      </w:r>
      <w:r>
        <w:rPr>
          <w:rFonts w:ascii="Times New Roman" w:eastAsia="Times New Roman" w:hAnsi="Times New Roman"/>
          <w:sz w:val="28"/>
          <w:szCs w:val="28"/>
          <w:lang w:val="uk-UA" w:eastAsia="ru-RU"/>
        </w:rPr>
        <w:lastRenderedPageBreak/>
        <w:t>ремонт доріг загального користування, що з’єднують громаду з основними магістралями області. Участь у загальнонаціональній платформі «Зроблено в Україні» для популяризації продукції тур’янських майстрів та фермерів.</w:t>
      </w:r>
    </w:p>
    <w:p w:rsidR="00227FEF" w:rsidRDefault="00494B9D" w:rsidP="000605DF">
      <w:pPr>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Це у сукупності дозволить диверсифікувати економіку, зменшивши залежності від лісового господарства через появу нових виробничих секторів. Релоковані підприємства та нові переробні цехи стимулюватимуть повернення трудових мігрантів у громаду. Відбудеться збільшення ПДФО, пряме наповнення бюджету громади за рахунок реєстрації нових платників податків на її території. Поєднання статусу гірської території з активною політикою залучення релокованого бізнесу створює умови для швидкого економічного зростання та переходу громади з категорії «дотаційних» до «самодостатніх».</w:t>
      </w:r>
    </w:p>
    <w:p w:rsidR="00227FEF" w:rsidRDefault="00494B9D" w:rsidP="000605DF">
      <w:pPr>
        <w:ind w:firstLine="708"/>
        <w:jc w:val="both"/>
        <w:rPr>
          <w:rFonts w:ascii="Times New Roman" w:eastAsia="Calibri" w:hAnsi="Times New Roman"/>
          <w:sz w:val="28"/>
          <w:szCs w:val="28"/>
          <w:lang w:val="uk-UA" w:eastAsia="en-US"/>
        </w:rPr>
      </w:pPr>
      <w:r>
        <w:rPr>
          <w:rFonts w:ascii="Times New Roman" w:eastAsia="Calibri" w:hAnsi="Times New Roman"/>
          <w:sz w:val="28"/>
          <w:szCs w:val="28"/>
          <w:lang w:val="uk-UA" w:eastAsia="en-US"/>
        </w:rPr>
        <w:t>Аналіз зовнішніх факторів свідчить, що Тур’є-Реметівська громада володіє унікальним сполученням природних ресурсів та географічного положення, які в умовах сучасної трансформації економіки України відкривають шлях до повного самозабезпечення та інвестиційного прориву. Головна можливість громади полягає у переході від ролі «ресурсного донора» до ролі «інноваційного еко-хабу». Успіх цієї трансформації залежить від спроможності місцевої влади сформувати професійну команду проєктних менеджерів, які зможуть трансформувати ці зовнішні шанси у конкретні грантові контракти та інвестиційні угоди.</w:t>
      </w:r>
    </w:p>
    <w:p w:rsidR="00227FEF" w:rsidRPr="005E48D4" w:rsidRDefault="00494B9D" w:rsidP="000605DF">
      <w:pPr>
        <w:ind w:firstLine="708"/>
        <w:jc w:val="both"/>
        <w:rPr>
          <w:lang w:val="uk-UA"/>
        </w:rPr>
      </w:pPr>
      <w:r>
        <w:rPr>
          <w:rFonts w:ascii="Times New Roman" w:eastAsia="Calibri" w:hAnsi="Times New Roman"/>
          <w:sz w:val="28"/>
          <w:szCs w:val="28"/>
          <w:lang w:val="uk-UA" w:eastAsia="en-US"/>
        </w:rPr>
        <w:t>Реалізація зазначених можливостей дозволить нівелювати більшість «слабких сторін» громади, зокрема подолати бюджетну дотаційність та зупинити відтік працездатного населення через створення якісно нових робочих місць.</w:t>
      </w:r>
    </w:p>
    <w:p w:rsidR="00227FEF" w:rsidRDefault="00227FEF">
      <w:pPr>
        <w:spacing w:line="360" w:lineRule="auto"/>
        <w:jc w:val="both"/>
        <w:rPr>
          <w:rFonts w:ascii="Times New Roman" w:eastAsia="Calibri" w:hAnsi="Times New Roman"/>
          <w:sz w:val="28"/>
          <w:szCs w:val="28"/>
          <w:lang w:val="uk-UA" w:eastAsia="en-US"/>
        </w:rPr>
      </w:pPr>
    </w:p>
    <w:p w:rsidR="00227FEF" w:rsidRDefault="00494B9D" w:rsidP="001A0378">
      <w:pPr>
        <w:ind w:firstLine="708"/>
        <w:jc w:val="both"/>
        <w:rPr>
          <w:rFonts w:ascii="Times New Roman" w:eastAsia="Calibri" w:hAnsi="Times New Roman"/>
          <w:caps/>
          <w:sz w:val="28"/>
          <w:szCs w:val="28"/>
          <w:lang w:val="uk-UA" w:eastAsia="en-US"/>
        </w:rPr>
      </w:pPr>
      <w:r>
        <w:rPr>
          <w:rFonts w:ascii="Times New Roman" w:eastAsia="Calibri" w:hAnsi="Times New Roman"/>
          <w:b/>
          <w:caps/>
          <w:sz w:val="28"/>
          <w:szCs w:val="28"/>
          <w:lang w:eastAsia="en-US"/>
        </w:rPr>
        <w:t>IV</w:t>
      </w:r>
      <w:r>
        <w:rPr>
          <w:rFonts w:ascii="Times New Roman" w:eastAsia="Calibri" w:hAnsi="Times New Roman"/>
          <w:b/>
          <w:caps/>
          <w:sz w:val="28"/>
          <w:szCs w:val="28"/>
          <w:lang w:val="uk-UA" w:eastAsia="en-US"/>
        </w:rPr>
        <w:t>. Загрози (Threats)</w:t>
      </w:r>
    </w:p>
    <w:p w:rsidR="00227FEF" w:rsidRDefault="00494B9D" w:rsidP="000605DF">
      <w:pPr>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Це зовнішні чинники, які громада не може контролювати напряму, але які можуть суттєво зашкодити її розвитку або нівелювати існуючі переваги та  негативно вплинути на реалізацію стратегії.</w:t>
      </w:r>
    </w:p>
    <w:p w:rsidR="00227FEF" w:rsidRPr="005E48D4" w:rsidRDefault="00494B9D" w:rsidP="001A0378">
      <w:pPr>
        <w:ind w:firstLine="708"/>
        <w:jc w:val="both"/>
        <w:rPr>
          <w:lang w:val="uk-UA"/>
        </w:rPr>
      </w:pPr>
      <w:r>
        <w:rPr>
          <w:rFonts w:ascii="Times New Roman" w:eastAsia="Times New Roman" w:hAnsi="Times New Roman"/>
          <w:b/>
          <w:bCs/>
          <w:sz w:val="28"/>
          <w:szCs w:val="28"/>
          <w:lang w:val="uk-UA" w:eastAsia="ru-RU"/>
        </w:rPr>
        <w:t xml:space="preserve">1. Макроекономічні та безпекові ризики. </w:t>
      </w:r>
      <w:r>
        <w:rPr>
          <w:rFonts w:ascii="Times New Roman" w:eastAsia="Times New Roman" w:hAnsi="Times New Roman"/>
          <w:bCs/>
          <w:sz w:val="28"/>
          <w:szCs w:val="28"/>
          <w:lang w:val="uk-UA" w:eastAsia="ru-RU"/>
        </w:rPr>
        <w:t>Ця група ризиків є найбільш важливою, оскільки вони мають системний характер і безпосередньо впливають на фінансову стійкість громади та її здатність реалізовувати довгострокові стратегії.</w:t>
      </w:r>
    </w:p>
    <w:p w:rsidR="00227FEF" w:rsidRPr="005E48D4" w:rsidRDefault="00494B9D" w:rsidP="000605DF">
      <w:pPr>
        <w:ind w:firstLine="708"/>
        <w:jc w:val="both"/>
        <w:rPr>
          <w:lang w:val="ru-RU"/>
        </w:rPr>
      </w:pPr>
      <w:r>
        <w:rPr>
          <w:rFonts w:ascii="Times New Roman" w:eastAsia="Times New Roman" w:hAnsi="Times New Roman"/>
          <w:bCs/>
          <w:sz w:val="28"/>
          <w:szCs w:val="28"/>
          <w:lang w:val="uk-UA" w:eastAsia="ru-RU"/>
        </w:rPr>
        <w:t xml:space="preserve">На сьогодні через пріоритетність видатків на оборону існує постійний ризик секвестру (скорочення) державного бюджету. Це може призвести до призупинення виплат за програмами </w:t>
      </w:r>
      <w:r>
        <w:rPr>
          <w:rFonts w:ascii="Times New Roman" w:eastAsia="Times New Roman" w:hAnsi="Times New Roman"/>
          <w:sz w:val="28"/>
          <w:szCs w:val="28"/>
          <w:lang w:val="uk-UA" w:eastAsia="ru-RU"/>
        </w:rPr>
        <w:t>Державного фонду регіонального розвитку</w:t>
      </w:r>
      <w:r>
        <w:rPr>
          <w:rFonts w:ascii="Times New Roman" w:eastAsia="Times New Roman" w:hAnsi="Times New Roman"/>
          <w:bCs/>
          <w:sz w:val="28"/>
          <w:szCs w:val="28"/>
          <w:lang w:val="uk-UA" w:eastAsia="ru-RU"/>
        </w:rPr>
        <w:t>, субвенцій на розвиток гірських територій та капітальних ремонтів доріг. Подальше залучення працездатного населення до лав ЗСУ створює гострий дефіцит фахівців у комунальному секторі (водіїв, електриків, інженерів) та приватному бізнесі (будівництво, туризм).</w:t>
      </w:r>
    </w:p>
    <w:p w:rsidR="00227FEF" w:rsidRDefault="00494B9D" w:rsidP="000605DF">
      <w:pPr>
        <w:ind w:firstLine="708"/>
        <w:jc w:val="both"/>
        <w:rPr>
          <w:rFonts w:ascii="Times New Roman" w:eastAsia="Times New Roman" w:hAnsi="Times New Roman"/>
          <w:bCs/>
          <w:sz w:val="28"/>
          <w:szCs w:val="28"/>
          <w:lang w:val="uk-UA" w:eastAsia="ru-RU"/>
        </w:rPr>
      </w:pPr>
      <w:r>
        <w:rPr>
          <w:rFonts w:ascii="Times New Roman" w:eastAsia="Times New Roman" w:hAnsi="Times New Roman"/>
          <w:bCs/>
          <w:sz w:val="28"/>
          <w:szCs w:val="28"/>
          <w:lang w:val="uk-UA" w:eastAsia="ru-RU"/>
        </w:rPr>
        <w:t>Існує ризик фізичного пошкодження інфраструктури. Навіть за умови відносної безпеки регіону, атаки на об’єкти магістральної енергомережі України призводять до блекаутів, що критично для готелів, бальнеологічних центрів (де необхідне підтримання температурного режиму чанів та басейнів) та закладів освіти.</w:t>
      </w:r>
    </w:p>
    <w:p w:rsidR="00227FEF" w:rsidRDefault="00494B9D">
      <w:pPr>
        <w:jc w:val="both"/>
        <w:rPr>
          <w:rFonts w:ascii="Times New Roman" w:eastAsia="Times New Roman" w:hAnsi="Times New Roman"/>
          <w:bCs/>
          <w:sz w:val="28"/>
          <w:szCs w:val="28"/>
          <w:lang w:val="uk-UA" w:eastAsia="ru-RU"/>
        </w:rPr>
      </w:pPr>
      <w:r>
        <w:rPr>
          <w:rFonts w:ascii="Times New Roman" w:eastAsia="Times New Roman" w:hAnsi="Times New Roman"/>
          <w:bCs/>
          <w:sz w:val="28"/>
          <w:szCs w:val="28"/>
          <w:lang w:val="uk-UA" w:eastAsia="ru-RU"/>
        </w:rPr>
        <w:lastRenderedPageBreak/>
        <w:t>Відбувається здорожчання інфраструктурних проєктів. Висока інфляція та нестабільність курсу валют призводять до стрімкого зростання вартості будівельних матеріалів, палива та обладнання. Проєкти, кошториси яких були затверджені рік тому, стають неможливими для реалізації без додаткового перегляду фінансування. Зниження купівельної спроможності населення. Зростання цін на товари першої необхідності змушує потенційних внутрішніх туристів економити на відпочинку, що може спричинити падіння попиту на послуги рекреаційного сектору громади.</w:t>
      </w:r>
    </w:p>
    <w:p w:rsidR="00227FEF" w:rsidRDefault="00494B9D" w:rsidP="00D91BFF">
      <w:pPr>
        <w:ind w:firstLine="708"/>
        <w:jc w:val="both"/>
        <w:rPr>
          <w:rFonts w:ascii="Times New Roman" w:eastAsia="Times New Roman" w:hAnsi="Times New Roman"/>
          <w:bCs/>
          <w:sz w:val="28"/>
          <w:szCs w:val="28"/>
          <w:lang w:val="uk-UA" w:eastAsia="ru-RU"/>
        </w:rPr>
      </w:pPr>
      <w:r>
        <w:rPr>
          <w:rFonts w:ascii="Times New Roman" w:eastAsia="Times New Roman" w:hAnsi="Times New Roman"/>
          <w:bCs/>
          <w:sz w:val="28"/>
          <w:szCs w:val="28"/>
          <w:lang w:val="uk-UA" w:eastAsia="ru-RU"/>
        </w:rPr>
        <w:t>Вилучення «військового ПДФО» та податкові маневри. Подальші зміни у розподілі податків між центром та громадами можуть позбавити ОТГ суттєвої частини надходжень. Для Тур’є-Реметівської громади це особливо болісно через високу питому вагу бюджетних установ у структурі доходів. Зростатиме посилення податкового тиску на малий бізнес. Зміни в системі оподаткування фізичних осіб-підприємців (ФОП) можуть призвести до закриття дрібних об’єктів торгівлі та сервісу в селах, що поглибить проблему безробіття. Високі облікові ставки роблять кредити для місцевого бізнесу та громади (наприклад, на оновлення комунальної техніки) фактично недоступними.</w:t>
      </w:r>
    </w:p>
    <w:p w:rsidR="00227FEF" w:rsidRDefault="00494B9D" w:rsidP="00D91BFF">
      <w:pPr>
        <w:ind w:firstLine="708"/>
        <w:jc w:val="both"/>
        <w:rPr>
          <w:rFonts w:ascii="Times New Roman" w:eastAsia="Times New Roman" w:hAnsi="Times New Roman"/>
          <w:bCs/>
          <w:sz w:val="28"/>
          <w:szCs w:val="28"/>
          <w:lang w:val="uk-UA" w:eastAsia="ru-RU"/>
        </w:rPr>
      </w:pPr>
      <w:r>
        <w:rPr>
          <w:rFonts w:ascii="Times New Roman" w:eastAsia="Times New Roman" w:hAnsi="Times New Roman"/>
          <w:bCs/>
          <w:sz w:val="28"/>
          <w:szCs w:val="28"/>
          <w:lang w:val="uk-UA" w:eastAsia="ru-RU"/>
        </w:rPr>
        <w:t>«Замороження» іноземних інвестицій. Поки тривають активні бойові дії, великі іноземні інвестори можуть відкладати рішення про капітальне будівництво через високі страхова ризики.</w:t>
      </w:r>
    </w:p>
    <w:p w:rsidR="00227FEF" w:rsidRDefault="00494B9D">
      <w:pPr>
        <w:jc w:val="both"/>
        <w:rPr>
          <w:rFonts w:ascii="Times New Roman" w:eastAsia="Times New Roman" w:hAnsi="Times New Roman"/>
          <w:bCs/>
          <w:sz w:val="28"/>
          <w:szCs w:val="28"/>
          <w:lang w:val="uk-UA" w:eastAsia="ru-RU"/>
        </w:rPr>
      </w:pPr>
      <w:r>
        <w:rPr>
          <w:rFonts w:ascii="Times New Roman" w:eastAsia="Times New Roman" w:hAnsi="Times New Roman"/>
          <w:bCs/>
          <w:sz w:val="28"/>
          <w:szCs w:val="28"/>
          <w:lang w:val="uk-UA" w:eastAsia="ru-RU"/>
        </w:rPr>
        <w:t>Щоб нівелювати ці ризики, громаді рекомендується:</w:t>
      </w:r>
    </w:p>
    <w:p w:rsidR="00227FEF" w:rsidRDefault="00494B9D">
      <w:pPr>
        <w:numPr>
          <w:ilvl w:val="0"/>
          <w:numId w:val="8"/>
        </w:numPr>
        <w:spacing w:after="160"/>
        <w:ind w:firstLine="709"/>
        <w:jc w:val="both"/>
        <w:rPr>
          <w:rFonts w:ascii="Times New Roman" w:eastAsia="Times New Roman" w:hAnsi="Times New Roman"/>
          <w:bCs/>
          <w:sz w:val="28"/>
          <w:szCs w:val="28"/>
          <w:lang w:val="uk-UA" w:eastAsia="ru-RU"/>
        </w:rPr>
      </w:pPr>
      <w:r>
        <w:rPr>
          <w:rFonts w:ascii="Times New Roman" w:eastAsia="Times New Roman" w:hAnsi="Times New Roman"/>
          <w:bCs/>
          <w:sz w:val="28"/>
          <w:szCs w:val="28"/>
          <w:lang w:val="uk-UA" w:eastAsia="ru-RU"/>
        </w:rPr>
        <w:t>Диверсифікація джерел</w:t>
      </w:r>
      <w:r w:rsidR="00D91BFF">
        <w:rPr>
          <w:rFonts w:ascii="Times New Roman" w:eastAsia="Times New Roman" w:hAnsi="Times New Roman"/>
          <w:bCs/>
          <w:sz w:val="28"/>
          <w:szCs w:val="28"/>
          <w:lang w:val="uk-UA" w:eastAsia="ru-RU"/>
        </w:rPr>
        <w:t xml:space="preserve"> фінансування. Максимально сфоку</w:t>
      </w:r>
      <w:r>
        <w:rPr>
          <w:rFonts w:ascii="Times New Roman" w:eastAsia="Times New Roman" w:hAnsi="Times New Roman"/>
          <w:bCs/>
          <w:sz w:val="28"/>
          <w:szCs w:val="28"/>
          <w:lang w:val="uk-UA" w:eastAsia="ru-RU"/>
        </w:rPr>
        <w:t>суватися на міжнародні гранти (що не залежать від держбюджету України).</w:t>
      </w:r>
    </w:p>
    <w:p w:rsidR="00227FEF" w:rsidRDefault="00494B9D">
      <w:pPr>
        <w:numPr>
          <w:ilvl w:val="0"/>
          <w:numId w:val="8"/>
        </w:numPr>
        <w:spacing w:after="160"/>
        <w:ind w:firstLine="709"/>
        <w:jc w:val="both"/>
        <w:rPr>
          <w:rFonts w:ascii="Times New Roman" w:eastAsia="Times New Roman" w:hAnsi="Times New Roman"/>
          <w:bCs/>
          <w:sz w:val="28"/>
          <w:szCs w:val="28"/>
          <w:lang w:val="uk-UA" w:eastAsia="ru-RU"/>
        </w:rPr>
      </w:pPr>
      <w:r>
        <w:rPr>
          <w:rFonts w:ascii="Times New Roman" w:eastAsia="Times New Roman" w:hAnsi="Times New Roman"/>
          <w:bCs/>
          <w:sz w:val="28"/>
          <w:szCs w:val="28"/>
          <w:lang w:val="uk-UA" w:eastAsia="ru-RU"/>
        </w:rPr>
        <w:t>Енергонезалежність. Пріоритетне встановлення автономних джерел енергії для критичних об’єктів.</w:t>
      </w:r>
    </w:p>
    <w:p w:rsidR="00227FEF" w:rsidRDefault="00494B9D">
      <w:pPr>
        <w:numPr>
          <w:ilvl w:val="0"/>
          <w:numId w:val="8"/>
        </w:numPr>
        <w:spacing w:after="160"/>
        <w:ind w:firstLine="709"/>
        <w:jc w:val="both"/>
        <w:rPr>
          <w:rFonts w:ascii="Times New Roman" w:eastAsia="Times New Roman" w:hAnsi="Times New Roman"/>
          <w:bCs/>
          <w:sz w:val="28"/>
          <w:szCs w:val="28"/>
          <w:lang w:val="uk-UA" w:eastAsia="ru-RU"/>
        </w:rPr>
      </w:pPr>
      <w:r>
        <w:rPr>
          <w:rFonts w:ascii="Times New Roman" w:eastAsia="Times New Roman" w:hAnsi="Times New Roman"/>
          <w:bCs/>
          <w:sz w:val="28"/>
          <w:szCs w:val="28"/>
          <w:lang w:val="uk-UA" w:eastAsia="ru-RU"/>
        </w:rPr>
        <w:t>Гнучке планування. Розробка проєктів у кілька черг, щоб мати змогу завершувати окремі етапи навіть за умови обмеженого фінансування.</w:t>
      </w:r>
    </w:p>
    <w:p w:rsidR="00227FEF" w:rsidRDefault="00494B9D" w:rsidP="001A0378">
      <w:pPr>
        <w:ind w:firstLine="708"/>
        <w:jc w:val="both"/>
        <w:outlineLvl w:val="2"/>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 xml:space="preserve">2. Екологічні та природні ризики. </w:t>
      </w:r>
      <w:r>
        <w:rPr>
          <w:rFonts w:ascii="Times New Roman" w:eastAsia="Times New Roman" w:hAnsi="Times New Roman"/>
          <w:bCs/>
          <w:sz w:val="28"/>
          <w:szCs w:val="28"/>
          <w:lang w:val="uk-UA" w:eastAsia="ru-RU"/>
        </w:rPr>
        <w:t>Ця група ризиків пов’язана як із глобальними кліматичними змінами, так і з локальним антропогенним (людським) впливом на екосистеми Українських Карпат. Для Тур’є-Реметівської громади, де добробут напряму залежить від лісів, річок та полонин, екологічні загрози є чи не найпідступнішими. Вони можуть не просто погіршити умови життя, а повністю знищити рекреаційний бізнес.</w:t>
      </w:r>
    </w:p>
    <w:p w:rsidR="00227FEF" w:rsidRPr="005E48D4" w:rsidRDefault="00494B9D" w:rsidP="00D91BFF">
      <w:pPr>
        <w:ind w:firstLine="708"/>
        <w:jc w:val="both"/>
        <w:rPr>
          <w:lang w:val="ru-RU"/>
        </w:rPr>
      </w:pPr>
      <w:r>
        <w:rPr>
          <w:rFonts w:ascii="Times New Roman" w:eastAsia="Times New Roman" w:hAnsi="Times New Roman"/>
          <w:sz w:val="28"/>
          <w:szCs w:val="28"/>
          <w:lang w:val="uk-UA" w:eastAsia="ru-RU"/>
        </w:rPr>
        <w:t>Актуальними залишаються р</w:t>
      </w:r>
      <w:r>
        <w:rPr>
          <w:rFonts w:ascii="Times New Roman" w:eastAsia="Times New Roman" w:hAnsi="Times New Roman"/>
          <w:bCs/>
          <w:sz w:val="28"/>
          <w:szCs w:val="28"/>
          <w:lang w:val="uk-UA" w:eastAsia="ru-RU"/>
        </w:rPr>
        <w:t>изик катастрофічних паводків та селів.</w:t>
      </w:r>
      <w:r>
        <w:rPr>
          <w:rFonts w:ascii="Times New Roman" w:eastAsia="Times New Roman" w:hAnsi="Times New Roman"/>
          <w:b/>
          <w:bCs/>
          <w:sz w:val="28"/>
          <w:szCs w:val="28"/>
          <w:lang w:val="uk-UA" w:eastAsia="ru-RU"/>
        </w:rPr>
        <w:t xml:space="preserve"> </w:t>
      </w:r>
      <w:r>
        <w:rPr>
          <w:rFonts w:ascii="Times New Roman" w:eastAsia="Times New Roman" w:hAnsi="Times New Roman"/>
          <w:sz w:val="28"/>
          <w:szCs w:val="28"/>
          <w:lang w:val="uk-UA" w:eastAsia="ru-RU"/>
        </w:rPr>
        <w:t xml:space="preserve">Через гірський рельєф та інтенсивні опади територія громада перебуває в зоні ризику раптового підняття рівня води в річках Тур’я, Туриця та їхніх притоках. Це загрожує руйнуванням мостів, доріг, гідротехнічних споруд та підтопленням садиб. Зворотна сторона кліматичних змін </w:t>
      </w:r>
      <w:r>
        <w:rPr>
          <w:rFonts w:ascii="Symbol" w:eastAsia="Symbol" w:hAnsi="Symbol" w:cs="Symbol"/>
          <w:sz w:val="28"/>
          <w:szCs w:val="28"/>
          <w:lang w:val="uk-UA" w:eastAsia="ru-RU"/>
        </w:rPr>
        <w:sym w:font="Symbol" w:char="F02D"/>
      </w:r>
      <w:r>
        <w:rPr>
          <w:rFonts w:ascii="Times New Roman" w:eastAsia="Times New Roman" w:hAnsi="Times New Roman"/>
          <w:sz w:val="28"/>
          <w:szCs w:val="28"/>
          <w:lang w:val="uk-UA" w:eastAsia="ru-RU"/>
        </w:rPr>
        <w:t xml:space="preserve"> тривалі бездощові періоди</w:t>
      </w:r>
      <w:r>
        <w:rPr>
          <w:rFonts w:ascii="Times New Roman" w:eastAsia="Times New Roman" w:hAnsi="Times New Roman"/>
          <w:bCs/>
          <w:sz w:val="28"/>
          <w:szCs w:val="28"/>
          <w:lang w:val="uk-UA" w:eastAsia="ru-RU"/>
        </w:rPr>
        <w:t xml:space="preserve"> та міління річок</w:t>
      </w:r>
      <w:r>
        <w:rPr>
          <w:rFonts w:ascii="Times New Roman" w:eastAsia="Times New Roman" w:hAnsi="Times New Roman"/>
          <w:sz w:val="28"/>
          <w:szCs w:val="28"/>
          <w:lang w:val="uk-UA" w:eastAsia="ru-RU"/>
        </w:rPr>
        <w:t>. Це призводить до критичного зниження дебіту води у джерелах, що забезпечують водопостачання домогосподарств та туристичних комплексів (зокрема басейнів та чанів).</w:t>
      </w:r>
    </w:p>
    <w:p w:rsidR="00227FEF" w:rsidRPr="005E48D4" w:rsidRDefault="00D91BFF" w:rsidP="00D91BFF">
      <w:pPr>
        <w:ind w:firstLine="708"/>
        <w:jc w:val="both"/>
        <w:rPr>
          <w:lang w:val="uk-UA"/>
        </w:rPr>
      </w:pPr>
      <w:r>
        <w:rPr>
          <w:rFonts w:ascii="Times New Roman" w:eastAsia="Times New Roman" w:hAnsi="Times New Roman"/>
          <w:sz w:val="28"/>
          <w:szCs w:val="28"/>
          <w:lang w:val="uk-UA" w:eastAsia="ru-RU"/>
        </w:rPr>
        <w:lastRenderedPageBreak/>
        <w:t>Загрози деградації</w:t>
      </w:r>
      <w:r w:rsidR="00494B9D">
        <w:rPr>
          <w:rFonts w:ascii="Times New Roman" w:eastAsia="Times New Roman" w:hAnsi="Times New Roman"/>
          <w:sz w:val="28"/>
          <w:szCs w:val="28"/>
          <w:lang w:val="uk-UA" w:eastAsia="ru-RU"/>
        </w:rPr>
        <w:t xml:space="preserve"> лісових та ґрунтових ресурсів як наслідки </w:t>
      </w:r>
      <w:r w:rsidR="00494B9D">
        <w:rPr>
          <w:rFonts w:ascii="Times New Roman" w:eastAsia="Times New Roman" w:hAnsi="Times New Roman"/>
          <w:bCs/>
          <w:sz w:val="28"/>
          <w:szCs w:val="28"/>
          <w:lang w:val="uk-UA" w:eastAsia="ru-RU"/>
        </w:rPr>
        <w:t>надмірної лісозаготівлі.</w:t>
      </w:r>
      <w:r w:rsidR="00494B9D">
        <w:rPr>
          <w:rFonts w:ascii="Times New Roman" w:eastAsia="Times New Roman" w:hAnsi="Times New Roman"/>
          <w:b/>
          <w:bCs/>
          <w:sz w:val="28"/>
          <w:szCs w:val="28"/>
          <w:lang w:val="uk-UA" w:eastAsia="ru-RU"/>
        </w:rPr>
        <w:t xml:space="preserve"> </w:t>
      </w:r>
      <w:r w:rsidR="00494B9D">
        <w:rPr>
          <w:rFonts w:ascii="Times New Roman" w:eastAsia="Times New Roman" w:hAnsi="Times New Roman"/>
          <w:sz w:val="28"/>
          <w:szCs w:val="28"/>
          <w:lang w:val="uk-UA" w:eastAsia="ru-RU"/>
        </w:rPr>
        <w:t>Вирубка лісів на крутосхилах у попередні десятиліття призвела до порушення гідрологічного режиму та посилення ерозії ґрунтів. Це збільшує ймовірність зсувів та прискорює стікання дощової води, що посилює паводки. Через зміну температурного режиму та поширення шкідників (наприклад, короїдів) спостерігається масова деградація хвойних і букових насаджень, що знижує природну цінність лісів.</w:t>
      </w:r>
    </w:p>
    <w:p w:rsidR="00227FEF" w:rsidRDefault="00494B9D" w:rsidP="00D91BFF">
      <w:pPr>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Загроза промислового тиску на високогірні екосистеми (Полонина Руна). Плани щодо встановлення вітрових електростанцій (ВЕС) несуть ризики для унікальної флори та фауни високогір’я. Будівництво доріг та фундаментів для турбін може пошкодити торфовища та рідкісні види рослин, що входять до Смарагдової мережі. Робота вітрогенераторів може негативно вплинути на шляхи міграції птахів та популяції кажанів, що викличе санкції з боку міжнародних екологічних організацій.</w:t>
      </w:r>
    </w:p>
    <w:p w:rsidR="00227FEF" w:rsidRDefault="00494B9D">
      <w:pPr>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Проблема поводження з відходами та забруднення вод. Через відсутність сучасних очисних споруд у більшості населених пунктів, господарсько-побутові стоки потрапляють безпосередньо у ґрунти та річки. Це створює загрозу бактеріологічного забруднення та унеможливлює безпечне купання та використання води. Недостатньо розвинена культура сортування та вивозу твердих побутових відходів призводить до накопичення сміття в урочищах та вздовж русел річок, що руйнує «зелений» імідж громади.</w:t>
      </w:r>
    </w:p>
    <w:p w:rsidR="00227FEF" w:rsidRPr="005E48D4" w:rsidRDefault="00494B9D">
      <w:pPr>
        <w:jc w:val="both"/>
        <w:rPr>
          <w:lang w:val="ru-RU"/>
        </w:rPr>
      </w:pPr>
      <w:r>
        <w:rPr>
          <w:rFonts w:ascii="Times New Roman" w:eastAsia="Times New Roman" w:hAnsi="Times New Roman"/>
          <w:sz w:val="28"/>
          <w:szCs w:val="28"/>
          <w:lang w:val="uk-UA" w:eastAsia="ru-RU"/>
        </w:rPr>
        <w:t xml:space="preserve">Природні загрози вимагають від громади </w:t>
      </w:r>
      <w:r>
        <w:rPr>
          <w:rFonts w:ascii="Times New Roman" w:eastAsia="Times New Roman" w:hAnsi="Times New Roman"/>
          <w:bCs/>
          <w:sz w:val="28"/>
          <w:szCs w:val="28"/>
          <w:lang w:val="uk-UA" w:eastAsia="ru-RU"/>
        </w:rPr>
        <w:t>превентивних (запобіжних) дій</w:t>
      </w:r>
      <w:r>
        <w:rPr>
          <w:rFonts w:ascii="Times New Roman" w:eastAsia="Times New Roman" w:hAnsi="Times New Roman"/>
          <w:sz w:val="28"/>
          <w:szCs w:val="28"/>
          <w:lang w:val="uk-UA" w:eastAsia="ru-RU"/>
        </w:rPr>
        <w:t>:</w:t>
      </w:r>
    </w:p>
    <w:p w:rsidR="00227FEF" w:rsidRDefault="00494B9D" w:rsidP="000605DF">
      <w:pPr>
        <w:numPr>
          <w:ilvl w:val="0"/>
          <w:numId w:val="17"/>
        </w:numPr>
        <w:spacing w:after="160"/>
        <w:ind w:left="142" w:firstLine="851"/>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Берегоукріплення.</w:t>
      </w:r>
      <w:r>
        <w:rPr>
          <w:rFonts w:ascii="Times New Roman" w:eastAsia="Times New Roman" w:hAnsi="Times New Roman"/>
          <w:sz w:val="28"/>
          <w:szCs w:val="28"/>
          <w:lang w:val="uk-UA" w:eastAsia="ru-RU"/>
        </w:rPr>
        <w:t xml:space="preserve"> Постійний моніторинг русел річок та будівництво захисних дамб.</w:t>
      </w:r>
    </w:p>
    <w:p w:rsidR="00227FEF" w:rsidRDefault="00494B9D" w:rsidP="000605DF">
      <w:pPr>
        <w:numPr>
          <w:ilvl w:val="0"/>
          <w:numId w:val="17"/>
        </w:numPr>
        <w:spacing w:after="160"/>
        <w:ind w:left="142" w:firstLine="851"/>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Обмеження на високогір’ї.</w:t>
      </w:r>
      <w:r>
        <w:rPr>
          <w:rFonts w:ascii="Times New Roman" w:eastAsia="Times New Roman" w:hAnsi="Times New Roman"/>
          <w:sz w:val="28"/>
          <w:szCs w:val="28"/>
          <w:lang w:val="uk-UA" w:eastAsia="ru-RU"/>
        </w:rPr>
        <w:t xml:space="preserve"> Впровадження суворих екологічних експертиз для будь-яких промислових об’єктів на полонинах.</w:t>
      </w:r>
    </w:p>
    <w:p w:rsidR="00227FEF" w:rsidRDefault="000605DF" w:rsidP="000605DF">
      <w:pPr>
        <w:spacing w:after="160"/>
        <w:ind w:left="142" w:firstLine="708"/>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 xml:space="preserve">    - </w:t>
      </w:r>
      <w:r w:rsidR="00494B9D">
        <w:rPr>
          <w:rFonts w:ascii="Times New Roman" w:eastAsia="Times New Roman" w:hAnsi="Times New Roman"/>
          <w:bCs/>
          <w:sz w:val="28"/>
          <w:szCs w:val="28"/>
          <w:lang w:val="uk-UA" w:eastAsia="ru-RU"/>
        </w:rPr>
        <w:t>Еко-інфраструктура.</w:t>
      </w:r>
      <w:r w:rsidR="00494B9D">
        <w:rPr>
          <w:rFonts w:ascii="Times New Roman" w:eastAsia="Times New Roman" w:hAnsi="Times New Roman"/>
          <w:sz w:val="28"/>
          <w:szCs w:val="28"/>
          <w:lang w:val="uk-UA" w:eastAsia="ru-RU"/>
        </w:rPr>
        <w:t xml:space="preserve"> Пріоритетне залучення грантів на очисні споруди та сміттєпереробку як основу виживання рекреаційного сектору.</w:t>
      </w:r>
    </w:p>
    <w:p w:rsidR="00227FEF" w:rsidRPr="005E48D4" w:rsidRDefault="00494B9D" w:rsidP="001A0378">
      <w:pPr>
        <w:ind w:firstLine="708"/>
        <w:jc w:val="both"/>
        <w:outlineLvl w:val="2"/>
        <w:rPr>
          <w:lang w:val="uk-UA"/>
        </w:rPr>
      </w:pPr>
      <w:r>
        <w:rPr>
          <w:rFonts w:ascii="Times New Roman" w:eastAsia="Times New Roman" w:hAnsi="Times New Roman"/>
          <w:b/>
          <w:bCs/>
          <w:sz w:val="27"/>
          <w:szCs w:val="27"/>
          <w:lang w:val="uk-UA" w:eastAsia="ru-RU"/>
        </w:rPr>
        <w:t xml:space="preserve">3. </w:t>
      </w:r>
      <w:r>
        <w:rPr>
          <w:rFonts w:ascii="Times New Roman" w:eastAsia="Times New Roman" w:hAnsi="Times New Roman"/>
          <w:b/>
          <w:bCs/>
          <w:sz w:val="28"/>
          <w:szCs w:val="28"/>
          <w:lang w:val="uk-UA" w:eastAsia="ru-RU"/>
        </w:rPr>
        <w:t xml:space="preserve">Соціально-демографічні ризики. </w:t>
      </w:r>
      <w:r>
        <w:rPr>
          <w:rFonts w:ascii="Times New Roman" w:eastAsia="Times New Roman" w:hAnsi="Times New Roman"/>
          <w:bCs/>
          <w:sz w:val="28"/>
          <w:szCs w:val="28"/>
          <w:lang w:val="uk-UA" w:eastAsia="ru-RU"/>
        </w:rPr>
        <w:t>Цей блок загроз описує ризики, пов’язані зі зменшенням чисельності населення, зміною його вікової структури та втратою кваліфікованих кадрів, що підриває життєздатність громади в довгостроковій перспективі.</w:t>
      </w:r>
    </w:p>
    <w:p w:rsidR="00227FEF" w:rsidRPr="005E48D4" w:rsidRDefault="00494B9D" w:rsidP="000605DF">
      <w:pPr>
        <w:ind w:firstLine="708"/>
        <w:jc w:val="both"/>
        <w:rPr>
          <w:lang w:val="ru-RU"/>
        </w:rPr>
      </w:pPr>
      <w:r>
        <w:rPr>
          <w:rFonts w:ascii="Times New Roman" w:eastAsia="Times New Roman" w:hAnsi="Times New Roman"/>
          <w:bCs/>
          <w:sz w:val="28"/>
          <w:szCs w:val="28"/>
          <w:lang w:val="uk-UA" w:eastAsia="ru-RU"/>
        </w:rPr>
        <w:t>У громаді відмічається від’ємний природний приріст.</w:t>
      </w:r>
      <w:r>
        <w:rPr>
          <w:rFonts w:ascii="Times New Roman" w:eastAsia="Times New Roman" w:hAnsi="Times New Roman"/>
          <w:sz w:val="28"/>
          <w:szCs w:val="28"/>
          <w:lang w:val="uk-UA" w:eastAsia="ru-RU"/>
        </w:rPr>
        <w:t xml:space="preserve"> Тенденція до перевищення смертності над народжуваністю, що характерно для сільських територій. Це призводить до поступового вимирання віддалених сіл громади та закриття малокомплектних шкіл. Збільшення частки людей пенсійного віку створює надмірне навантаження на соціальні служби та бюджет громади (видатки на медицину, пільги) при одночасному скороченні податкових надходжень (ПДФО).</w:t>
      </w:r>
    </w:p>
    <w:p w:rsidR="00227FEF" w:rsidRPr="005E48D4" w:rsidRDefault="00494B9D" w:rsidP="000605DF">
      <w:pPr>
        <w:ind w:firstLine="708"/>
        <w:jc w:val="both"/>
        <w:rPr>
          <w:lang w:val="ru-RU"/>
        </w:rPr>
      </w:pPr>
      <w:r>
        <w:rPr>
          <w:rFonts w:ascii="Times New Roman" w:eastAsia="Times New Roman" w:hAnsi="Times New Roman"/>
          <w:bCs/>
          <w:sz w:val="28"/>
          <w:szCs w:val="28"/>
          <w:lang w:val="uk-UA" w:eastAsia="ru-RU"/>
        </w:rPr>
        <w:t>Активною є т</w:t>
      </w:r>
      <w:r>
        <w:rPr>
          <w:rFonts w:ascii="Times New Roman" w:eastAsia="Times New Roman" w:hAnsi="Times New Roman"/>
          <w:sz w:val="28"/>
          <w:szCs w:val="28"/>
          <w:lang w:val="uk-UA" w:eastAsia="ru-RU"/>
        </w:rPr>
        <w:t xml:space="preserve">рудова міграція та відтік кваліфіковних кадрів. Близькість до кордону з ЄС стимулює виїзд найбільш активної та працездатної молоді на заробітки або на постійне проживання до Словаччини, Чехії чи Польщі. Відтік кваліфікованих </w:t>
      </w:r>
      <w:r>
        <w:rPr>
          <w:rFonts w:ascii="Times New Roman" w:eastAsia="Times New Roman" w:hAnsi="Times New Roman"/>
          <w:sz w:val="28"/>
          <w:szCs w:val="28"/>
          <w:lang w:val="uk-UA" w:eastAsia="ru-RU"/>
        </w:rPr>
        <w:lastRenderedPageBreak/>
        <w:t>кадрів (вчителів, медиків, управлінців) до Ужгорода або інших великих міст через відсутність у громаді високооплачуваних робочих місць та сучасної культурно-дозвіллєвої інфраструктури. Дефіцит професійних кадрів для нових галузей. Загрозою є к</w:t>
      </w:r>
      <w:r>
        <w:rPr>
          <w:rFonts w:ascii="Times New Roman" w:eastAsia="Times New Roman" w:hAnsi="Times New Roman"/>
          <w:bCs/>
          <w:sz w:val="28"/>
          <w:szCs w:val="28"/>
          <w:lang w:val="uk-UA" w:eastAsia="ru-RU"/>
        </w:rPr>
        <w:t>валіфікаційний розрив, тобто н</w:t>
      </w:r>
      <w:r>
        <w:rPr>
          <w:rFonts w:ascii="Times New Roman" w:eastAsia="Times New Roman" w:hAnsi="Times New Roman"/>
          <w:sz w:val="28"/>
          <w:szCs w:val="28"/>
          <w:lang w:val="uk-UA" w:eastAsia="ru-RU"/>
        </w:rPr>
        <w:t>евідповідність навичок місцевого населення потребам сучасного бізнесу. Наприклад, громада може залучити інвестора у сферу ІТ чи відновлюваної енергетики, але не знайти на місці фахівців для обслуговування цих об’єктів.</w:t>
      </w:r>
    </w:p>
    <w:p w:rsidR="00227FEF" w:rsidRPr="005E48D4" w:rsidRDefault="00494B9D" w:rsidP="000605DF">
      <w:pPr>
        <w:ind w:firstLine="708"/>
        <w:jc w:val="both"/>
        <w:rPr>
          <w:lang w:val="uk-UA"/>
        </w:rPr>
      </w:pPr>
      <w:r>
        <w:rPr>
          <w:rFonts w:ascii="Times New Roman" w:eastAsia="Times New Roman" w:hAnsi="Times New Roman"/>
          <w:bCs/>
          <w:sz w:val="28"/>
          <w:szCs w:val="28"/>
          <w:lang w:val="uk-UA" w:eastAsia="ru-RU"/>
        </w:rPr>
        <w:t>Втрата наступності в крафтових ремеслах.</w:t>
      </w:r>
      <w:r>
        <w:rPr>
          <w:rFonts w:ascii="Times New Roman" w:eastAsia="Times New Roman" w:hAnsi="Times New Roman"/>
          <w:sz w:val="28"/>
          <w:szCs w:val="28"/>
          <w:lang w:val="uk-UA" w:eastAsia="ru-RU"/>
        </w:rPr>
        <w:t xml:space="preserve"> Молодь дедалі рідше переймає традиційні навички (бджільництво, сироваріння, ковальство), що ставить під загрозу автентичність туристичного бренду громади. Тривала відсутність видимих інфраструктурних змін може призвести до пасивності мешканців, небажання брати участь у громадських слуханнях і житті громади загалом. Існування ризиків виникнення суперечок між консервативно налаштованою частиною населення та прихильниками інновацій (наприклад, щодо будівництва вітряків чи модернізації зон відпочинку).</w:t>
      </w:r>
    </w:p>
    <w:p w:rsidR="00227FEF" w:rsidRDefault="00494B9D" w:rsidP="000605DF">
      <w:pPr>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Для подолання цих загроз громада має сфокусуватися на:</w:t>
      </w:r>
    </w:p>
    <w:p w:rsidR="00227FEF" w:rsidRDefault="00494B9D" w:rsidP="000605DF">
      <w:pPr>
        <w:numPr>
          <w:ilvl w:val="0"/>
          <w:numId w:val="10"/>
        </w:numPr>
        <w:spacing w:after="160"/>
        <w:ind w:left="0" w:firstLine="993"/>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Підтримці молодіжного підприємництва.</w:t>
      </w:r>
      <w:r>
        <w:rPr>
          <w:rFonts w:ascii="Times New Roman" w:eastAsia="Times New Roman" w:hAnsi="Times New Roman"/>
          <w:sz w:val="28"/>
          <w:szCs w:val="28"/>
          <w:lang w:val="uk-UA" w:eastAsia="ru-RU"/>
        </w:rPr>
        <w:t xml:space="preserve"> Створення бізнес-інкубаторів для молодих фермерів та власників еко-садиб.</w:t>
      </w:r>
    </w:p>
    <w:p w:rsidR="00227FEF" w:rsidRDefault="00494B9D" w:rsidP="000605DF">
      <w:pPr>
        <w:numPr>
          <w:ilvl w:val="0"/>
          <w:numId w:val="10"/>
        </w:numPr>
        <w:spacing w:after="160"/>
        <w:ind w:left="0" w:firstLine="993"/>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Розвитку STEM-освіти.</w:t>
      </w:r>
      <w:r>
        <w:rPr>
          <w:rFonts w:ascii="Times New Roman" w:eastAsia="Times New Roman" w:hAnsi="Times New Roman"/>
          <w:sz w:val="28"/>
          <w:szCs w:val="28"/>
          <w:lang w:val="uk-UA" w:eastAsia="ru-RU"/>
        </w:rPr>
        <w:t xml:space="preserve"> Створення сучасних освітніх хабів у школах, щоб діти бачили перспективу професійної реалізації вдома.</w:t>
      </w:r>
    </w:p>
    <w:p w:rsidR="00227FEF" w:rsidRDefault="00494B9D" w:rsidP="000605DF">
      <w:pPr>
        <w:numPr>
          <w:ilvl w:val="0"/>
          <w:numId w:val="10"/>
        </w:numPr>
        <w:spacing w:after="160"/>
        <w:ind w:left="0" w:firstLine="993"/>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Покращенні якості життя.</w:t>
      </w:r>
      <w:r>
        <w:rPr>
          <w:rFonts w:ascii="Times New Roman" w:eastAsia="Times New Roman" w:hAnsi="Times New Roman"/>
          <w:sz w:val="28"/>
          <w:szCs w:val="28"/>
          <w:lang w:val="uk-UA" w:eastAsia="ru-RU"/>
        </w:rPr>
        <w:t xml:space="preserve"> Інвестиції не лише в дороги, а й у швидкісний інтернет, сучасні громадські простори, щоб життя в селі було комфортним для міських фахівців (релокантів).</w:t>
      </w:r>
    </w:p>
    <w:p w:rsidR="00227FEF" w:rsidRPr="005E48D4" w:rsidRDefault="00494B9D" w:rsidP="001A0378">
      <w:pPr>
        <w:ind w:firstLine="708"/>
        <w:jc w:val="both"/>
        <w:rPr>
          <w:lang w:val="uk-UA"/>
        </w:rPr>
      </w:pPr>
      <w:r>
        <w:rPr>
          <w:rFonts w:ascii="Times New Roman" w:eastAsia="Times New Roman" w:hAnsi="Times New Roman"/>
          <w:b/>
          <w:bCs/>
          <w:sz w:val="28"/>
          <w:szCs w:val="28"/>
          <w:lang w:val="uk-UA" w:eastAsia="ru-RU"/>
        </w:rPr>
        <w:t xml:space="preserve">4. Конкурентний та правовий тиск. </w:t>
      </w:r>
      <w:r>
        <w:rPr>
          <w:rFonts w:ascii="Times New Roman" w:eastAsia="Times New Roman" w:hAnsi="Times New Roman"/>
          <w:sz w:val="28"/>
          <w:szCs w:val="28"/>
          <w:lang w:val="uk-UA" w:eastAsia="ru-RU"/>
        </w:rPr>
        <w:t>Ця група загроз охоплює зовнішнє середовище, які можуть обмежити розвиток Тур’є-Реметівської громади або змусити її боротися за ресурси з іншими територіями, змагатися за інвестора, туриста та бюджетні кошти в умовах постійної зміни законодавства на державному рівні.</w:t>
      </w:r>
    </w:p>
    <w:p w:rsidR="00227FEF" w:rsidRPr="005E48D4" w:rsidRDefault="00494B9D" w:rsidP="00D91BFF">
      <w:pPr>
        <w:ind w:firstLine="708"/>
        <w:jc w:val="both"/>
        <w:rPr>
          <w:lang w:val="ru-RU"/>
        </w:rPr>
      </w:pPr>
      <w:r>
        <w:rPr>
          <w:rFonts w:ascii="Times New Roman" w:eastAsia="Times New Roman" w:hAnsi="Times New Roman"/>
          <w:sz w:val="28"/>
          <w:szCs w:val="28"/>
          <w:lang w:val="uk-UA" w:eastAsia="ru-RU"/>
        </w:rPr>
        <w:t>По перше, це б</w:t>
      </w:r>
      <w:r>
        <w:rPr>
          <w:rFonts w:ascii="Times New Roman" w:eastAsia="Times New Roman" w:hAnsi="Times New Roman"/>
          <w:bCs/>
          <w:sz w:val="28"/>
          <w:szCs w:val="28"/>
          <w:lang w:val="uk-UA" w:eastAsia="ru-RU"/>
        </w:rPr>
        <w:t>оротьба за релокований бізнес.</w:t>
      </w:r>
      <w:r>
        <w:rPr>
          <w:rFonts w:ascii="Times New Roman" w:eastAsia="Times New Roman" w:hAnsi="Times New Roman"/>
          <w:sz w:val="28"/>
          <w:szCs w:val="28"/>
          <w:lang w:val="uk-UA" w:eastAsia="ru-RU"/>
        </w:rPr>
        <w:t xml:space="preserve"> Сусідні громади (наприклад, Перечинська, Полянська, Ужгородська) можуть пропонувати інвесторам кращі умови: підготовлені промислові зони, підведені комунікації (газ, великі потужності електрики) або швидші бюрократичні процедури. Тур’є-Реметівська ОТГ ризикує залишитися лише «сировинним додатком», якщо не створить конкурентних переваг. </w:t>
      </w:r>
    </w:p>
    <w:p w:rsidR="00227FEF" w:rsidRPr="005E48D4" w:rsidRDefault="00494B9D" w:rsidP="00D91BFF">
      <w:pPr>
        <w:ind w:firstLine="708"/>
        <w:jc w:val="both"/>
        <w:rPr>
          <w:lang w:val="uk-UA"/>
        </w:rPr>
      </w:pPr>
      <w:r>
        <w:rPr>
          <w:rFonts w:ascii="Times New Roman" w:eastAsia="Times New Roman" w:hAnsi="Times New Roman"/>
          <w:sz w:val="28"/>
          <w:szCs w:val="28"/>
          <w:lang w:val="uk-UA" w:eastAsia="ru-RU"/>
        </w:rPr>
        <w:t>По друге, к</w:t>
      </w:r>
      <w:r>
        <w:rPr>
          <w:rFonts w:ascii="Times New Roman" w:eastAsia="Times New Roman" w:hAnsi="Times New Roman"/>
          <w:bCs/>
          <w:sz w:val="28"/>
          <w:szCs w:val="28"/>
          <w:lang w:val="uk-UA" w:eastAsia="ru-RU"/>
        </w:rPr>
        <w:t>онкуренція за туристичний потік.</w:t>
      </w:r>
      <w:r>
        <w:rPr>
          <w:rFonts w:ascii="Times New Roman" w:eastAsia="Times New Roman" w:hAnsi="Times New Roman"/>
          <w:sz w:val="28"/>
          <w:szCs w:val="28"/>
          <w:lang w:val="uk-UA" w:eastAsia="ru-RU"/>
        </w:rPr>
        <w:t xml:space="preserve"> Бальнеологічні курорти-сусіди (Поляна, Свалява, Ужгород) мають більш розкручені бренди та кращу інфраструктуру. Без створення унікальної ніші (наприклад, фокус на еко-мілітарі реабілітації або крафті), туристи можуть оминати громаду, обираючи більш «цивілізовані» варіанти.</w:t>
      </w:r>
    </w:p>
    <w:p w:rsidR="00227FEF" w:rsidRPr="005E48D4" w:rsidRDefault="00494B9D" w:rsidP="00D91BFF">
      <w:pPr>
        <w:ind w:firstLine="708"/>
        <w:jc w:val="both"/>
        <w:rPr>
          <w:lang w:val="ru-RU"/>
        </w:rPr>
      </w:pPr>
      <w:r>
        <w:rPr>
          <w:rFonts w:ascii="Times New Roman" w:eastAsia="Times New Roman" w:hAnsi="Times New Roman"/>
          <w:sz w:val="28"/>
          <w:szCs w:val="28"/>
          <w:lang w:val="uk-UA" w:eastAsia="ru-RU"/>
        </w:rPr>
        <w:t xml:space="preserve">Загрозами є нестабільність та жорсткість правового поля. Передусім це зміни </w:t>
      </w:r>
      <w:r>
        <w:rPr>
          <w:rFonts w:ascii="Times New Roman" w:eastAsia="Times New Roman" w:hAnsi="Times New Roman"/>
          <w:bCs/>
          <w:sz w:val="28"/>
          <w:szCs w:val="28"/>
          <w:lang w:val="uk-UA" w:eastAsia="ru-RU"/>
        </w:rPr>
        <w:t>у земельному та лісовому законодавстві, через що виникає</w:t>
      </w:r>
      <w:r>
        <w:rPr>
          <w:rFonts w:ascii="Times New Roman" w:eastAsia="Times New Roman" w:hAnsi="Times New Roman"/>
          <w:sz w:val="28"/>
          <w:szCs w:val="28"/>
          <w:lang w:val="uk-UA" w:eastAsia="ru-RU"/>
        </w:rPr>
        <w:t xml:space="preserve"> ризик запровадження нових обмежень на використання земель лісового фонду або прикордонних територій, що може заблокувати розвиток рекреаційних зон чи будівництво об’єктів </w:t>
      </w:r>
      <w:r>
        <w:rPr>
          <w:rFonts w:ascii="Times New Roman" w:eastAsia="Times New Roman" w:hAnsi="Times New Roman"/>
          <w:sz w:val="28"/>
          <w:szCs w:val="28"/>
          <w:lang w:val="uk-UA" w:eastAsia="ru-RU"/>
        </w:rPr>
        <w:lastRenderedPageBreak/>
        <w:t>ВДЕ. Відбуватиметься п</w:t>
      </w:r>
      <w:r>
        <w:rPr>
          <w:rFonts w:ascii="Times New Roman" w:eastAsia="Times New Roman" w:hAnsi="Times New Roman"/>
          <w:bCs/>
          <w:sz w:val="28"/>
          <w:szCs w:val="28"/>
          <w:lang w:val="uk-UA" w:eastAsia="ru-RU"/>
        </w:rPr>
        <w:t>осилення екологічних стандартів (EU Acquis), позаяк у</w:t>
      </w:r>
      <w:r>
        <w:rPr>
          <w:rFonts w:ascii="Times New Roman" w:eastAsia="Times New Roman" w:hAnsi="Times New Roman"/>
          <w:sz w:val="28"/>
          <w:szCs w:val="28"/>
          <w:lang w:val="uk-UA" w:eastAsia="ru-RU"/>
        </w:rPr>
        <w:t xml:space="preserve"> процесі вступу до ЄС Україна імплементує суворі екологічні норми. Це загроза для місцевих підприємств (пилорам, ферм), які не мають коштів на швидку модернізацію очисних споруд чи систем фільтрації, що може призвести до їх закриття через штрафи.</w:t>
      </w:r>
    </w:p>
    <w:p w:rsidR="00227FEF" w:rsidRPr="005E48D4" w:rsidRDefault="00494B9D" w:rsidP="00D91BFF">
      <w:pPr>
        <w:ind w:firstLine="708"/>
        <w:jc w:val="both"/>
        <w:rPr>
          <w:lang w:val="uk-UA"/>
        </w:rPr>
      </w:pPr>
      <w:r>
        <w:rPr>
          <w:rFonts w:ascii="Times New Roman" w:eastAsia="Times New Roman" w:hAnsi="Times New Roman"/>
          <w:sz w:val="28"/>
          <w:szCs w:val="28"/>
          <w:lang w:val="uk-UA" w:eastAsia="ru-RU"/>
        </w:rPr>
        <w:t>Існують і ризики централізації фінансів через з</w:t>
      </w:r>
      <w:r>
        <w:rPr>
          <w:rFonts w:ascii="Times New Roman" w:eastAsia="Times New Roman" w:hAnsi="Times New Roman"/>
          <w:bCs/>
          <w:sz w:val="28"/>
          <w:szCs w:val="28"/>
          <w:lang w:val="uk-UA" w:eastAsia="ru-RU"/>
        </w:rPr>
        <w:t>міну формули розподілу податків. Так, д</w:t>
      </w:r>
      <w:r>
        <w:rPr>
          <w:rFonts w:ascii="Times New Roman" w:eastAsia="Times New Roman" w:hAnsi="Times New Roman"/>
          <w:sz w:val="28"/>
          <w:szCs w:val="28"/>
          <w:lang w:val="uk-UA" w:eastAsia="ru-RU"/>
        </w:rPr>
        <w:t>ержава може переглянути відсоток ПДФО, що залишається в громадах, або змінити правила нарахування базової дотації. Для Тур’є-Реметівської ОТГ, яка є дотаційною, будь-яке зменшення підтримки з центру є критичним для виплати зарплат бюджетникам. Через п</w:t>
      </w:r>
      <w:r>
        <w:rPr>
          <w:rFonts w:ascii="Times New Roman" w:eastAsia="Times New Roman" w:hAnsi="Times New Roman"/>
          <w:bCs/>
          <w:sz w:val="28"/>
          <w:szCs w:val="28"/>
          <w:lang w:val="uk-UA" w:eastAsia="ru-RU"/>
        </w:rPr>
        <w:t>осилення контролю за використанням земель є р</w:t>
      </w:r>
      <w:r>
        <w:rPr>
          <w:rFonts w:ascii="Times New Roman" w:eastAsia="Times New Roman" w:hAnsi="Times New Roman"/>
          <w:sz w:val="28"/>
          <w:szCs w:val="28"/>
          <w:lang w:val="uk-UA" w:eastAsia="ru-RU"/>
        </w:rPr>
        <w:t>изик вилучення самозаліснених земель або зміна статусу пасовищ на державному рівні, що обмежить повноваження сільської ради у розпорядженні власними ресурсами.</w:t>
      </w:r>
    </w:p>
    <w:p w:rsidR="00227FEF" w:rsidRDefault="00494B9D" w:rsidP="00D91BFF">
      <w:pPr>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Зростання кількості судових позовів від громадських організацій чи еко-активістів (зокрема щодо використання Полонини Руна) може на роки призупинитиінвестиційні проєкти через судові заборони, створюючи громаді репутацію «конфліктної території» для великого капіталу.</w:t>
      </w:r>
    </w:p>
    <w:p w:rsidR="00227FEF" w:rsidRDefault="00494B9D">
      <w:pPr>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Для подолання цих загроз громада має сфокусуватися на:</w:t>
      </w:r>
    </w:p>
    <w:p w:rsidR="00227FEF" w:rsidRDefault="00494B9D">
      <w:pPr>
        <w:numPr>
          <w:ilvl w:val="0"/>
          <w:numId w:val="12"/>
        </w:numPr>
        <w:spacing w:after="160"/>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Створенні «Інвестиційного паспорта».</w:t>
      </w:r>
      <w:r>
        <w:rPr>
          <w:rFonts w:ascii="Times New Roman" w:eastAsia="Times New Roman" w:hAnsi="Times New Roman"/>
          <w:sz w:val="28"/>
          <w:szCs w:val="28"/>
          <w:lang w:val="uk-UA" w:eastAsia="ru-RU"/>
        </w:rPr>
        <w:t xml:space="preserve"> Чітка інвентаризація всіх вільних приміщень та ділянок, щоб відповідати на запити бізнесу швидше за сусідів.</w:t>
      </w:r>
    </w:p>
    <w:p w:rsidR="00227FEF" w:rsidRDefault="00494B9D">
      <w:pPr>
        <w:numPr>
          <w:ilvl w:val="0"/>
          <w:numId w:val="12"/>
        </w:numPr>
        <w:spacing w:after="160"/>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Реєстрація брендів.</w:t>
      </w:r>
      <w:r>
        <w:rPr>
          <w:rFonts w:ascii="Times New Roman" w:eastAsia="Times New Roman" w:hAnsi="Times New Roman"/>
          <w:sz w:val="28"/>
          <w:szCs w:val="28"/>
          <w:lang w:val="uk-UA" w:eastAsia="ru-RU"/>
        </w:rPr>
        <w:t xml:space="preserve"> Офіційне закріплення за громадою прав на торговельні марки локальних продуктів та фестивалів.</w:t>
      </w:r>
    </w:p>
    <w:p w:rsidR="00227FEF" w:rsidRDefault="00494B9D">
      <w:pPr>
        <w:numPr>
          <w:ilvl w:val="0"/>
          <w:numId w:val="12"/>
        </w:numPr>
        <w:spacing w:after="160"/>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Співпраця, а не війна:</w:t>
      </w:r>
      <w:r>
        <w:rPr>
          <w:rFonts w:ascii="Times New Roman" w:eastAsia="Times New Roman" w:hAnsi="Times New Roman"/>
          <w:sz w:val="28"/>
          <w:szCs w:val="28"/>
          <w:lang w:val="uk-UA" w:eastAsia="ru-RU"/>
        </w:rPr>
        <w:t xml:space="preserve"> Розгляд варіантів міжмуніципального співробітництва з сусідами, що перетворює конкурентів на партнерів.</w:t>
      </w:r>
    </w:p>
    <w:p w:rsidR="00227FEF" w:rsidRPr="005E48D4" w:rsidRDefault="00494B9D" w:rsidP="001A0378">
      <w:pPr>
        <w:ind w:firstLine="360"/>
        <w:jc w:val="both"/>
        <w:outlineLvl w:val="2"/>
        <w:rPr>
          <w:lang w:val="uk-UA"/>
        </w:rPr>
      </w:pPr>
      <w:r>
        <w:rPr>
          <w:rFonts w:ascii="Times New Roman" w:eastAsia="Times New Roman" w:hAnsi="Times New Roman"/>
          <w:b/>
          <w:bCs/>
          <w:sz w:val="28"/>
          <w:szCs w:val="28"/>
          <w:lang w:val="uk-UA" w:eastAsia="ru-RU"/>
        </w:rPr>
        <w:t xml:space="preserve">5. Ризики індустріалізації ландшафту. </w:t>
      </w:r>
      <w:r>
        <w:rPr>
          <w:rFonts w:ascii="Times New Roman" w:eastAsia="Times New Roman" w:hAnsi="Times New Roman"/>
          <w:bCs/>
          <w:sz w:val="28"/>
          <w:szCs w:val="28"/>
          <w:lang w:val="uk-UA" w:eastAsia="ru-RU"/>
        </w:rPr>
        <w:t>Ця група загроз стосується можливої втрати автентичності та візуальної привабливості регіону через стратегічно помилкове розміщення промислових та енергетичних об’єктів.</w:t>
      </w:r>
    </w:p>
    <w:p w:rsidR="00227FEF" w:rsidRPr="005E48D4" w:rsidRDefault="00494B9D" w:rsidP="000605DF">
      <w:pPr>
        <w:ind w:firstLine="708"/>
        <w:jc w:val="both"/>
        <w:rPr>
          <w:lang w:val="uk-UA"/>
        </w:rPr>
      </w:pPr>
      <w:r>
        <w:rPr>
          <w:rFonts w:ascii="Times New Roman" w:eastAsia="Times New Roman" w:hAnsi="Times New Roman"/>
          <w:sz w:val="28"/>
          <w:szCs w:val="28"/>
          <w:lang w:val="uk-UA" w:eastAsia="ru-RU"/>
        </w:rPr>
        <w:t>Насамперед – це ризики втрати візуальної та естетичної цінності через т</w:t>
      </w:r>
      <w:r>
        <w:rPr>
          <w:rFonts w:ascii="Times New Roman" w:eastAsia="Times New Roman" w:hAnsi="Times New Roman"/>
          <w:bCs/>
          <w:sz w:val="28"/>
          <w:szCs w:val="28"/>
          <w:lang w:val="uk-UA" w:eastAsia="ru-RU"/>
        </w:rPr>
        <w:t>ехногенне втручання у високогір’я, позаяк в</w:t>
      </w:r>
      <w:r>
        <w:rPr>
          <w:rFonts w:ascii="Times New Roman" w:eastAsia="Times New Roman" w:hAnsi="Times New Roman"/>
          <w:sz w:val="28"/>
          <w:szCs w:val="28"/>
          <w:lang w:val="uk-UA" w:eastAsia="ru-RU"/>
        </w:rPr>
        <w:t>становлення масивних вітроенергетичних установок (ВЕС) на Полонині Руна може змінити панорамний вигляд. Це ризик перетворення дикої природи на промислову зону, що знизить попит на піші походи та фототуризм. Будівництво під’їзних доріг для важкої техніки та ліній електропередач (ЛЕП) через лісові масиви призводить до розчленування середовища проживання диких тварин, що негативно впливає на біорізноманіття.</w:t>
      </w:r>
    </w:p>
    <w:p w:rsidR="00227FEF" w:rsidRDefault="00494B9D" w:rsidP="000605DF">
      <w:pPr>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Якщо територія асоціюватиметься з промисловими об’єктами, вона втратить привабливість для преміального еко-відпочинку (глемпінгів, ретріт-центрів). Замість платоспроможних туристів, що шукають тиші, громада може отримати лише короткострокові технічні візити, які не створюють високої доданої вартості. Робота промислових об’єктів (наприклад, вітряків чи деревообробних цехів поблизу сіл) може створювати дискомфорт для мешканців та відпочиваючих, що нівелює концепцію «тихого відпочинку» та оздоровлення. Масштабне будівництво на </w:t>
      </w:r>
      <w:r>
        <w:rPr>
          <w:rFonts w:ascii="Times New Roman" w:eastAsia="Times New Roman" w:hAnsi="Times New Roman"/>
          <w:sz w:val="28"/>
          <w:szCs w:val="28"/>
          <w:lang w:val="uk-UA" w:eastAsia="ru-RU"/>
        </w:rPr>
        <w:lastRenderedPageBreak/>
        <w:t>крутосхилах без належних укріплень може спровокувати зсуви ґрунту та руйнування родючого шару полонин, що відновлюється десятиліттями.</w:t>
      </w:r>
    </w:p>
    <w:p w:rsidR="00227FEF" w:rsidRDefault="00494B9D" w:rsidP="000605DF">
      <w:pPr>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Оскільки частина територій громади має міжнародний природоохоронний статус, промислова активність може призвести до санкцій або виключення з міжнародних грантових програм, що орієнтовані на збереження довкілля.</w:t>
      </w:r>
    </w:p>
    <w:p w:rsidR="00227FEF" w:rsidRDefault="00494B9D">
      <w:pPr>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Ризик розколу в громаді між тими, хто підтримує індустріальні проєкти, і тими, хто виступає за збереження природи. Це створює несприятливе середовище для будь-якого інвестора.</w:t>
      </w:r>
    </w:p>
    <w:p w:rsidR="00227FEF" w:rsidRDefault="00494B9D" w:rsidP="000605DF">
      <w:pPr>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Для подолання цих загроз громада має сфокусуватися на:</w:t>
      </w:r>
    </w:p>
    <w:p w:rsidR="00227FEF" w:rsidRDefault="00494B9D">
      <w:pPr>
        <w:numPr>
          <w:ilvl w:val="0"/>
          <w:numId w:val="18"/>
        </w:numPr>
        <w:spacing w:after="160"/>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Просторовому зонуванні.</w:t>
      </w:r>
      <w:r>
        <w:rPr>
          <w:rFonts w:ascii="Times New Roman" w:eastAsia="Times New Roman" w:hAnsi="Times New Roman"/>
          <w:sz w:val="28"/>
          <w:szCs w:val="28"/>
          <w:lang w:val="uk-UA" w:eastAsia="ru-RU"/>
        </w:rPr>
        <w:t xml:space="preserve"> Чітке розмежування територій: «заповідні зони» (де індустріалізація заборонена) та «зони промислового розвитку» (де вплив на ландшафт буде мінімальним).</w:t>
      </w:r>
    </w:p>
    <w:p w:rsidR="00227FEF" w:rsidRDefault="00494B9D">
      <w:pPr>
        <w:numPr>
          <w:ilvl w:val="0"/>
          <w:numId w:val="18"/>
        </w:numPr>
        <w:spacing w:after="160"/>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 xml:space="preserve">Обов’язкова ОВД (Оцінка впливу на довкілля). </w:t>
      </w:r>
      <w:r>
        <w:rPr>
          <w:rFonts w:ascii="Times New Roman" w:eastAsia="Times New Roman" w:hAnsi="Times New Roman"/>
          <w:sz w:val="28"/>
          <w:szCs w:val="28"/>
          <w:lang w:val="uk-UA" w:eastAsia="ru-RU"/>
        </w:rPr>
        <w:t>Проведення незалежних експертиз із залученням науковців ще на етапі ідеї проєкту.</w:t>
      </w:r>
    </w:p>
    <w:p w:rsidR="00227FEF" w:rsidRDefault="00494B9D">
      <w:pPr>
        <w:numPr>
          <w:ilvl w:val="0"/>
          <w:numId w:val="18"/>
        </w:numPr>
        <w:spacing w:after="160"/>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 xml:space="preserve">Вибір альтернатив. </w:t>
      </w:r>
      <w:r>
        <w:rPr>
          <w:rFonts w:ascii="Times New Roman" w:eastAsia="Times New Roman" w:hAnsi="Times New Roman"/>
          <w:sz w:val="28"/>
          <w:szCs w:val="28"/>
          <w:lang w:val="uk-UA" w:eastAsia="ru-RU"/>
        </w:rPr>
        <w:t>Надання пріоритету менш інвазивним технологіям.</w:t>
      </w:r>
    </w:p>
    <w:p w:rsidR="00227FEF" w:rsidRDefault="00494B9D">
      <w:pPr>
        <w:numPr>
          <w:ilvl w:val="0"/>
          <w:numId w:val="18"/>
        </w:numPr>
        <w:spacing w:after="160"/>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Естетичний регламент.</w:t>
      </w:r>
      <w:r>
        <w:rPr>
          <w:rFonts w:ascii="Times New Roman" w:eastAsia="Times New Roman" w:hAnsi="Times New Roman"/>
          <w:sz w:val="28"/>
          <w:szCs w:val="28"/>
          <w:lang w:val="uk-UA" w:eastAsia="ru-RU"/>
        </w:rPr>
        <w:t xml:space="preserve"> Впровадження вимог до зовнішнього вигляду промислових об’єктів, щоб вони максимально інтегрувалися в ландшафт.</w:t>
      </w:r>
    </w:p>
    <w:p w:rsidR="00227FEF" w:rsidRPr="005E48D4" w:rsidRDefault="00494B9D" w:rsidP="000605DF">
      <w:pPr>
        <w:ind w:firstLine="708"/>
        <w:jc w:val="both"/>
        <w:rPr>
          <w:lang w:val="uk-UA"/>
        </w:rPr>
      </w:pPr>
      <w:r>
        <w:rPr>
          <w:rFonts w:ascii="Times New Roman" w:eastAsia="Times New Roman" w:hAnsi="Times New Roman"/>
          <w:sz w:val="28"/>
          <w:szCs w:val="28"/>
          <w:lang w:val="uk-UA" w:eastAsia="ru-RU"/>
        </w:rPr>
        <w:t xml:space="preserve">Більшість загроз для Тур’є-Реметівської громади пов’язані з </w:t>
      </w:r>
      <w:r>
        <w:rPr>
          <w:rFonts w:ascii="Times New Roman" w:eastAsia="Times New Roman" w:hAnsi="Times New Roman"/>
          <w:bCs/>
          <w:sz w:val="28"/>
          <w:szCs w:val="28"/>
          <w:lang w:val="uk-UA" w:eastAsia="ru-RU"/>
        </w:rPr>
        <w:t>зовнішньою нестабільністю</w:t>
      </w:r>
      <w:r>
        <w:rPr>
          <w:rFonts w:ascii="Times New Roman" w:eastAsia="Times New Roman" w:hAnsi="Times New Roman"/>
          <w:sz w:val="28"/>
          <w:szCs w:val="28"/>
          <w:lang w:val="uk-UA" w:eastAsia="ru-RU"/>
        </w:rPr>
        <w:t xml:space="preserve"> та </w:t>
      </w:r>
      <w:r>
        <w:rPr>
          <w:rFonts w:ascii="Times New Roman" w:eastAsia="Times New Roman" w:hAnsi="Times New Roman"/>
          <w:bCs/>
          <w:sz w:val="28"/>
          <w:szCs w:val="28"/>
          <w:lang w:val="uk-UA" w:eastAsia="ru-RU"/>
        </w:rPr>
        <w:t>екологічними ризиками</w:t>
      </w:r>
      <w:r>
        <w:rPr>
          <w:rFonts w:ascii="Times New Roman" w:eastAsia="Times New Roman" w:hAnsi="Times New Roman"/>
          <w:sz w:val="28"/>
          <w:szCs w:val="28"/>
          <w:lang w:val="uk-UA" w:eastAsia="ru-RU"/>
        </w:rPr>
        <w:t xml:space="preserve">. Головним викликом є балансування між необхідністю економічного виживання та збереженням унікального природного капіталу, який є основою рекреаційної привабливості. Аналіз загроз демонструє, що Тур’є-Реметівська ТГ перебуває у зоні впливу складних, взаємопов’язаних ризиків </w:t>
      </w:r>
      <w:r>
        <w:rPr>
          <w:rFonts w:ascii="Symbol" w:eastAsia="Symbol" w:hAnsi="Symbol" w:cs="Symbol"/>
          <w:sz w:val="28"/>
          <w:szCs w:val="28"/>
          <w:lang w:val="uk-UA" w:eastAsia="ru-RU"/>
        </w:rPr>
        <w:sym w:font="Symbol" w:char="F02D"/>
      </w:r>
      <w:r>
        <w:rPr>
          <w:rFonts w:ascii="Times New Roman" w:eastAsia="Times New Roman" w:hAnsi="Times New Roman"/>
          <w:sz w:val="28"/>
          <w:szCs w:val="28"/>
          <w:lang w:val="uk-UA" w:eastAsia="ru-RU"/>
        </w:rPr>
        <w:t xml:space="preserve"> від загальнодержавних безпекових викликів до специфічних локальних екологічних конфліктів. </w:t>
      </w:r>
    </w:p>
    <w:p w:rsidR="00227FEF" w:rsidRPr="001A0378" w:rsidRDefault="00494B9D" w:rsidP="001A0378">
      <w:pPr>
        <w:ind w:firstLine="708"/>
        <w:jc w:val="both"/>
        <w:rPr>
          <w:lang w:val="uk-UA"/>
        </w:rPr>
      </w:pPr>
      <w:r>
        <w:rPr>
          <w:rFonts w:ascii="Times New Roman" w:eastAsia="Times New Roman" w:hAnsi="Times New Roman"/>
          <w:sz w:val="28"/>
          <w:szCs w:val="28"/>
          <w:lang w:val="uk-UA" w:eastAsia="ru-RU"/>
        </w:rPr>
        <w:t xml:space="preserve">Головний виклик для громади сьогодні – це знайти «золоту середину» між необхідною індустріалізацією (для наповнення бюджету) та збереженням екологічної автентичності (для сталого туризму). Громада має діяти </w:t>
      </w:r>
      <w:r>
        <w:rPr>
          <w:rFonts w:ascii="Times New Roman" w:eastAsia="Times New Roman" w:hAnsi="Times New Roman"/>
          <w:bCs/>
          <w:sz w:val="28"/>
          <w:szCs w:val="28"/>
          <w:lang w:val="uk-UA" w:eastAsia="ru-RU"/>
        </w:rPr>
        <w:t>проактивно</w:t>
      </w:r>
      <w:r>
        <w:rPr>
          <w:rFonts w:ascii="Times New Roman" w:eastAsia="Times New Roman" w:hAnsi="Times New Roman"/>
          <w:sz w:val="28"/>
          <w:szCs w:val="28"/>
          <w:lang w:val="uk-UA" w:eastAsia="ru-RU"/>
        </w:rPr>
        <w:t xml:space="preserve"> </w:t>
      </w:r>
      <w:r>
        <w:rPr>
          <w:rFonts w:ascii="Symbol" w:eastAsia="Symbol" w:hAnsi="Symbol" w:cs="Symbol"/>
          <w:sz w:val="28"/>
          <w:szCs w:val="28"/>
          <w:lang w:val="uk-UA" w:eastAsia="ru-RU"/>
        </w:rPr>
        <w:sym w:font="Symbol" w:char="F02D"/>
      </w:r>
      <w:r>
        <w:rPr>
          <w:rFonts w:ascii="Times New Roman" w:eastAsia="Times New Roman" w:hAnsi="Times New Roman"/>
          <w:sz w:val="28"/>
          <w:szCs w:val="28"/>
          <w:lang w:val="uk-UA" w:eastAsia="ru-RU"/>
        </w:rPr>
        <w:t xml:space="preserve"> не просто реагувати на кризи, коли вони вже сталися, а вибудовувати систему захисту через енергонезалежність, диверсифікацію доходів та активний діалог із мешканцями. Тільки за умови прозорості та фаховості управління зовнішні загрози можна трансформувати у стимули для внутрішнього зміцнення.</w:t>
      </w:r>
    </w:p>
    <w:p w:rsidR="00227FEF" w:rsidRDefault="00494B9D">
      <w:pPr>
        <w:spacing w:before="280" w:after="280"/>
        <w:jc w:val="center"/>
        <w:outlineLvl w:val="1"/>
        <w:rPr>
          <w:rFonts w:ascii="Times New Roman" w:eastAsia="Times New Roman" w:hAnsi="Times New Roman"/>
          <w:bCs/>
          <w:sz w:val="28"/>
          <w:szCs w:val="36"/>
          <w:lang w:val="ru-RU" w:eastAsia="ru-RU"/>
        </w:rPr>
      </w:pPr>
      <w:r>
        <w:rPr>
          <w:rFonts w:ascii="Times New Roman" w:eastAsia="Times New Roman" w:hAnsi="Times New Roman"/>
          <w:bCs/>
          <w:sz w:val="28"/>
          <w:szCs w:val="36"/>
          <w:lang w:val="ru-RU" w:eastAsia="ru-RU"/>
        </w:rPr>
        <w:t>УЗГОДЖЕНІСТЬ СТРАТЕГІЇ З ДЕРЖАВНИМИ ТА РЕГІОНАЛЬНИМИ СТРАТЕГІЧНИМИ ДОКУМЕНТАМИ</w:t>
      </w:r>
    </w:p>
    <w:p w:rsidR="00227FEF" w:rsidRPr="000605DF" w:rsidRDefault="00494B9D" w:rsidP="000605DF">
      <w:pPr>
        <w:spacing w:before="280" w:after="280"/>
        <w:ind w:firstLine="708"/>
        <w:jc w:val="both"/>
        <w:outlineLvl w:val="1"/>
        <w:rPr>
          <w:rFonts w:ascii="Times New Roman" w:eastAsia="Times New Roman" w:hAnsi="Times New Roman"/>
          <w:bCs/>
          <w:sz w:val="28"/>
          <w:szCs w:val="36"/>
          <w:lang w:val="ru-RU" w:eastAsia="ru-RU"/>
        </w:rPr>
      </w:pPr>
      <w:r>
        <w:rPr>
          <w:rFonts w:ascii="Times New Roman" w:eastAsia="Times New Roman" w:hAnsi="Times New Roman"/>
          <w:bCs/>
          <w:sz w:val="28"/>
          <w:szCs w:val="36"/>
          <w:lang w:val="ru-RU" w:eastAsia="ru-RU"/>
        </w:rPr>
        <w:t xml:space="preserve">Система стратегічного планування в Україні базується на координації процесів стратегічного планування на центральному, регіональному та місцевому рівнях. Державна стратегія регіонального розвитку на 2021-2027 роки є основним планувальним документом для реалізації секторальних стратегій розвитку, координації державної політики у різних сферах, досягнення ефективності використання державних ресурсів у територіальних громадах та регіонах в інтересах </w:t>
      </w:r>
      <w:r>
        <w:rPr>
          <w:rFonts w:ascii="Times New Roman" w:eastAsia="Times New Roman" w:hAnsi="Times New Roman"/>
          <w:bCs/>
          <w:sz w:val="28"/>
          <w:szCs w:val="36"/>
          <w:lang w:val="ru-RU" w:eastAsia="ru-RU"/>
        </w:rPr>
        <w:lastRenderedPageBreak/>
        <w:t xml:space="preserve">людини, єдності держави, сталого розвитку історичних населених місць та збереження традиційного характеру історичного середовища, збереження навколишнього природного середовища та сталого використання природних ресурсів для нинішнього та майбутніх поколінь українців. Дана Стратегія розроблена відповідно до Цілей сталого розвитку України до 2030 року, затверджених Указом Президента України від 30.09.2019 № 722. При розробці Стратегії розвитку </w:t>
      </w:r>
      <w:r>
        <w:rPr>
          <w:rFonts w:ascii="Times New Roman" w:eastAsia="Times New Roman" w:hAnsi="Times New Roman"/>
          <w:bCs/>
          <w:sz w:val="28"/>
          <w:szCs w:val="36"/>
          <w:lang w:val="uk-UA" w:eastAsia="ru-RU"/>
        </w:rPr>
        <w:t>Тур’є-Рреметівської</w:t>
      </w:r>
      <w:r>
        <w:rPr>
          <w:rFonts w:ascii="Times New Roman" w:eastAsia="Times New Roman" w:hAnsi="Times New Roman"/>
          <w:bCs/>
          <w:sz w:val="28"/>
          <w:szCs w:val="36"/>
          <w:lang w:val="ru-RU" w:eastAsia="ru-RU"/>
        </w:rPr>
        <w:t xml:space="preserve"> сільської територіальної громади до 2027 року враховані ключові аспекти Державної стратегії регіонального розвитку на 2021-2027 роки. Стратегічні напрямки розвитку </w:t>
      </w:r>
      <w:r>
        <w:rPr>
          <w:rFonts w:ascii="Times New Roman" w:eastAsia="Times New Roman" w:hAnsi="Times New Roman"/>
          <w:bCs/>
          <w:sz w:val="28"/>
          <w:szCs w:val="36"/>
          <w:lang w:val="uk-UA" w:eastAsia="ru-RU"/>
        </w:rPr>
        <w:t xml:space="preserve">Тур’є-Рреметівської </w:t>
      </w:r>
      <w:r>
        <w:rPr>
          <w:rFonts w:ascii="Times New Roman" w:eastAsia="Times New Roman" w:hAnsi="Times New Roman"/>
          <w:bCs/>
          <w:sz w:val="28"/>
          <w:szCs w:val="36"/>
          <w:lang w:val="ru-RU" w:eastAsia="ru-RU"/>
        </w:rPr>
        <w:t xml:space="preserve">громади також сформовані відповідно до стратегічних цілей Регоінальної стратегії розвитку Закарпатської області на період 2021-2027 років, яка базується на аналізі результатів виконання Регоінальної стратегії розвитку Закарпатської області до 2020 року, розумінні проблем соціально-економічного розвитку області, районів та територіальних громад. Система заходів повинна забезпечити розвиток людського капіталу, досягнення високої якості життя та економічного зростання на основі екологічно невиснажливої, енергоефективної та інноваційно орієнтованої економіки. Реалізація Стратегії розвитку </w:t>
      </w:r>
      <w:r>
        <w:rPr>
          <w:rFonts w:ascii="Times New Roman" w:eastAsia="Times New Roman" w:hAnsi="Times New Roman"/>
          <w:bCs/>
          <w:sz w:val="28"/>
          <w:szCs w:val="36"/>
          <w:lang w:val="uk-UA" w:eastAsia="ru-RU"/>
        </w:rPr>
        <w:t xml:space="preserve">Тур’є-Рреметівської </w:t>
      </w:r>
      <w:r>
        <w:rPr>
          <w:rFonts w:ascii="Times New Roman" w:eastAsia="Times New Roman" w:hAnsi="Times New Roman"/>
          <w:bCs/>
          <w:sz w:val="28"/>
          <w:szCs w:val="36"/>
          <w:lang w:val="ru-RU" w:eastAsia="ru-RU"/>
        </w:rPr>
        <w:t xml:space="preserve">сільської територіальної громади до 2027 року сприятиме виконанню Державної стратегії регіонального розвитку на 2021-2027 роки та Регіональної стратегії розвитку Закарпатської області на період 2021-2027 років. </w:t>
      </w:r>
    </w:p>
    <w:p w:rsidR="00227FEF" w:rsidRDefault="00494B9D">
      <w:pPr>
        <w:spacing w:before="280" w:after="280"/>
        <w:jc w:val="center"/>
        <w:outlineLvl w:val="1"/>
        <w:rPr>
          <w:rFonts w:ascii="Times New Roman" w:eastAsia="Times New Roman" w:hAnsi="Times New Roman"/>
          <w:bCs/>
          <w:sz w:val="28"/>
          <w:szCs w:val="36"/>
          <w:lang w:val="uk-UA" w:eastAsia="ru-RU"/>
        </w:rPr>
      </w:pPr>
      <w:r>
        <w:rPr>
          <w:rFonts w:ascii="Times New Roman" w:eastAsia="Times New Roman" w:hAnsi="Times New Roman"/>
          <w:bCs/>
          <w:sz w:val="28"/>
          <w:szCs w:val="36"/>
          <w:lang w:val="uk-UA" w:eastAsia="ru-RU"/>
        </w:rPr>
        <w:t>ПРОВЕДЕННЯ МОНІТОРИНГУ, ОЦІНЮВАННЯ РЕАЛІЗАЦІЇ СТРАТЕГІЇ ТА УПРАВЛІННЯ РИЗИКАМИ</w:t>
      </w:r>
    </w:p>
    <w:p w:rsidR="00227FEF" w:rsidRDefault="00494B9D">
      <w:pPr>
        <w:jc w:val="both"/>
        <w:outlineLvl w:val="1"/>
        <w:rPr>
          <w:rFonts w:ascii="Times New Roman" w:eastAsia="Times New Roman" w:hAnsi="Times New Roman"/>
          <w:bCs/>
          <w:sz w:val="28"/>
          <w:szCs w:val="36"/>
          <w:lang w:val="ru-RU" w:eastAsia="ru-RU"/>
        </w:rPr>
      </w:pPr>
      <w:r>
        <w:rPr>
          <w:rFonts w:ascii="Times New Roman" w:eastAsia="Times New Roman" w:hAnsi="Times New Roman"/>
          <w:bCs/>
          <w:sz w:val="28"/>
          <w:szCs w:val="36"/>
          <w:lang w:val="uk-UA" w:eastAsia="ru-RU"/>
        </w:rPr>
        <w:t xml:space="preserve"> </w:t>
      </w:r>
      <w:r w:rsidR="00D91BFF">
        <w:rPr>
          <w:rFonts w:ascii="Times New Roman" w:eastAsia="Times New Roman" w:hAnsi="Times New Roman"/>
          <w:bCs/>
          <w:sz w:val="28"/>
          <w:szCs w:val="36"/>
          <w:lang w:val="uk-UA" w:eastAsia="ru-RU"/>
        </w:rPr>
        <w:tab/>
      </w:r>
      <w:r>
        <w:rPr>
          <w:rFonts w:ascii="Times New Roman" w:eastAsia="Times New Roman" w:hAnsi="Times New Roman"/>
          <w:bCs/>
          <w:sz w:val="28"/>
          <w:szCs w:val="36"/>
          <w:lang w:val="uk-UA" w:eastAsia="ru-RU"/>
        </w:rPr>
        <w:t xml:space="preserve">Процеси впровадження та оцінювання є складовими єдиного стратегічного планувального циклу. Впровадження Стратегії включає розроблення та затвердженя Плану заходів, формування бюджету з урахуванням цілей, визначених у Стратегії, реалізацію місцевих програм розвитку, проєктів та заходів, моніторинг досягнення цілей та їх коригування у разі необхідності. </w:t>
      </w:r>
      <w:r>
        <w:rPr>
          <w:rFonts w:ascii="Times New Roman" w:eastAsia="Times New Roman" w:hAnsi="Times New Roman"/>
          <w:bCs/>
          <w:sz w:val="28"/>
          <w:szCs w:val="36"/>
          <w:lang w:val="ru-RU" w:eastAsia="ru-RU"/>
        </w:rPr>
        <w:t xml:space="preserve">Оцінювання – визначення результатів впливу реалізації Стратегії на розвиток територіальної громади, досягнення запланованих результатів та врахування їх у наступному планувальному циклі. Система впровадження Стратегії Реалізація стратегічних, оперативних цілей та завдань Стратегії передбачає виконання одночасно багатьох завдань різними структурами виконавчого комітету ради, бізнесом, громадським активом та мешканцями, що ставить перед керівництвом громади питання раціонального управління цим доволі складним процесом. Система впровадження Стратегії має два рівні: політичний та технічний. Політичний рівень забезпечує особисто голова громади та депутатський корпус. Ключова роль при цьому відводиться голові сільської ради. Його завданням є стимулювання та координація виконання завдань, які реалізують різні суб‘єкти, а також мобілізація та інтеграція ресурсів, що знаходяться у їх розпорядженні з метою досягнення стратегічних цілей та реалізації завдань, які дозволять досягнути спільно визначеного бачення розвитку громади. Крім того, однією із стратегічних ролей голови є представництво інтересів громади з метою досягнення цілей та виконання завдань Стратегії. </w:t>
      </w:r>
      <w:r w:rsidR="00D91BFF">
        <w:rPr>
          <w:rFonts w:ascii="Times New Roman" w:eastAsia="Times New Roman" w:hAnsi="Times New Roman"/>
          <w:bCs/>
          <w:sz w:val="28"/>
          <w:szCs w:val="36"/>
          <w:lang w:val="ru-RU" w:eastAsia="ru-RU"/>
        </w:rPr>
        <w:t>Н</w:t>
      </w:r>
      <w:r>
        <w:rPr>
          <w:rFonts w:ascii="Times New Roman" w:eastAsia="Times New Roman" w:hAnsi="Times New Roman"/>
          <w:bCs/>
          <w:sz w:val="28"/>
          <w:szCs w:val="36"/>
          <w:lang w:val="ru-RU" w:eastAsia="ru-RU"/>
        </w:rPr>
        <w:t xml:space="preserve">а цьому рівні </w:t>
      </w:r>
      <w:r>
        <w:rPr>
          <w:rFonts w:ascii="Times New Roman" w:eastAsia="Times New Roman" w:hAnsi="Times New Roman"/>
          <w:bCs/>
          <w:sz w:val="28"/>
          <w:szCs w:val="36"/>
          <w:lang w:val="ru-RU" w:eastAsia="ru-RU"/>
        </w:rPr>
        <w:lastRenderedPageBreak/>
        <w:t xml:space="preserve">заслуховуються та затверджуються звіти голови щодо реалізації Стратегії, пропозиції щодо внесення змін (актуалізації) Стратегії. Технічний рівень впровадження виконують відповідальні за досягнення завдань Стратегії структурні підрозділи виконавчого комітету та комунальні установи сільської ради. З метою покращення ефективності їх роботи та координації дій щодо впровадження Стратегії розпорядженням голови утворюється Робоча група з управління впровадженням Стратегії, проведення моніторингу її реалізації як постійно діючий консультативно-дорадчий орган (далі – Робоча група). Робочу групу очолює сільський голова. До її складу входять особи, які представляють найважливіших учасників процесу планування й реалізації Стратегії: керівники структурних підрозділів виконавчого комітету ради та комунальних підприємств, відповідальні за виконання завдань Стратегії, інші представники сільської ради, представники бізнесу, установ, організацій, громадських організацій, активні мешканці, в тому числі які брали участь у її розробці. Робоча група збирається не рідше одного разу на півріччя та виконує наступні функції: - координує дії підрозділів, комунальних установ сільської ради, старост громади, органів державної влади, підприємств та установ в процесі впровадження Стратегії, реалізації проєктів місцевого розвитку, заходів місцевих та регіональних програм; - здійснює підготовку щорічних звітів про результати проведення моніторингу реалізації Стратегії; - здійснює підготовку піврічних звітів про результати проведення моніторингу Плану заходів з реалізації Стратегії; - готує пропозиції щодо внесення змін (актуалізації) Стратегії. За організацію роботи Робочої групи, узагальнення та формування звітів про результати проведення моніторингу реалізації Стратегії, про результати проведення моніторингу Плану заходів з реалізації Стратегії, а також формування пропозицій щодо внесення змін (актуалізації) Стратегії відповідає Фінансовий відділ </w:t>
      </w:r>
      <w:r>
        <w:rPr>
          <w:rFonts w:ascii="Times New Roman" w:eastAsia="Times New Roman" w:hAnsi="Times New Roman"/>
          <w:bCs/>
          <w:sz w:val="28"/>
          <w:szCs w:val="36"/>
          <w:lang w:val="uk-UA" w:eastAsia="ru-RU"/>
        </w:rPr>
        <w:t>Тур’є-Реметівської</w:t>
      </w:r>
      <w:r>
        <w:rPr>
          <w:rFonts w:ascii="Times New Roman" w:eastAsia="Times New Roman" w:hAnsi="Times New Roman"/>
          <w:bCs/>
          <w:sz w:val="28"/>
          <w:szCs w:val="36"/>
          <w:lang w:val="ru-RU" w:eastAsia="ru-RU"/>
        </w:rPr>
        <w:t xml:space="preserve"> сільської ради. Процес впровадження Стратегії здійснюється на основі Плану заходів з її реалізації, що розробляється для забезпечення виконання завдань, визначених Стратегією. План заходів з реалізації Стратегії складається з технічних завдань на проєкти місцевого розвитку, які буду</w:t>
      </w:r>
      <w:r w:rsidR="001A0378">
        <w:rPr>
          <w:rFonts w:ascii="Times New Roman" w:eastAsia="Times New Roman" w:hAnsi="Times New Roman"/>
          <w:bCs/>
          <w:sz w:val="28"/>
          <w:szCs w:val="36"/>
          <w:lang w:val="ru-RU" w:eastAsia="ru-RU"/>
        </w:rPr>
        <w:t>ть впроваджуватися впродовж 2026</w:t>
      </w:r>
      <w:r>
        <w:rPr>
          <w:rFonts w:ascii="Times New Roman" w:eastAsia="Times New Roman" w:hAnsi="Times New Roman"/>
          <w:bCs/>
          <w:sz w:val="28"/>
          <w:szCs w:val="36"/>
          <w:lang w:val="ru-RU" w:eastAsia="ru-RU"/>
        </w:rPr>
        <w:t>-2027 років. Фінансове забезпечення реалізації Стратегії та Плану заходів здійснюється за рахунок:</w:t>
      </w:r>
    </w:p>
    <w:p w:rsidR="00227FEF" w:rsidRDefault="00494B9D">
      <w:pPr>
        <w:ind w:left="708"/>
        <w:jc w:val="both"/>
        <w:outlineLvl w:val="1"/>
        <w:rPr>
          <w:rFonts w:ascii="Times New Roman" w:eastAsia="Times New Roman" w:hAnsi="Times New Roman"/>
          <w:bCs/>
          <w:sz w:val="28"/>
          <w:szCs w:val="36"/>
          <w:lang w:val="ru-RU" w:eastAsia="ru-RU"/>
        </w:rPr>
      </w:pPr>
      <w:r>
        <w:rPr>
          <w:rFonts w:ascii="Times New Roman" w:eastAsia="Times New Roman" w:hAnsi="Times New Roman"/>
          <w:bCs/>
          <w:sz w:val="28"/>
          <w:szCs w:val="36"/>
          <w:lang w:val="ru-RU" w:eastAsia="ru-RU"/>
        </w:rPr>
        <w:t xml:space="preserve">- коштів бюджету територіальної громади; </w:t>
      </w:r>
    </w:p>
    <w:p w:rsidR="00227FEF" w:rsidRDefault="00494B9D">
      <w:pPr>
        <w:ind w:left="708"/>
        <w:jc w:val="both"/>
        <w:outlineLvl w:val="1"/>
        <w:rPr>
          <w:rFonts w:ascii="Times New Roman" w:eastAsia="Times New Roman" w:hAnsi="Times New Roman"/>
          <w:bCs/>
          <w:sz w:val="28"/>
          <w:szCs w:val="36"/>
          <w:lang w:val="ru-RU" w:eastAsia="ru-RU"/>
        </w:rPr>
      </w:pPr>
      <w:r>
        <w:rPr>
          <w:rFonts w:ascii="Times New Roman" w:eastAsia="Times New Roman" w:hAnsi="Times New Roman"/>
          <w:bCs/>
          <w:sz w:val="28"/>
          <w:szCs w:val="36"/>
          <w:lang w:val="ru-RU" w:eastAsia="ru-RU"/>
        </w:rPr>
        <w:t>- коштів державного бюджету, в тому числі міжбюджетних трансфертів з державного бюджету місцевим бюджетам;</w:t>
      </w:r>
    </w:p>
    <w:p w:rsidR="00227FEF" w:rsidRDefault="00494B9D">
      <w:pPr>
        <w:ind w:left="708"/>
        <w:jc w:val="both"/>
        <w:outlineLvl w:val="1"/>
        <w:rPr>
          <w:rFonts w:ascii="Times New Roman" w:eastAsia="Times New Roman" w:hAnsi="Times New Roman"/>
          <w:bCs/>
          <w:sz w:val="28"/>
          <w:szCs w:val="36"/>
          <w:lang w:val="ru-RU" w:eastAsia="ru-RU"/>
        </w:rPr>
      </w:pPr>
      <w:r>
        <w:rPr>
          <w:rFonts w:ascii="Times New Roman" w:eastAsia="Times New Roman" w:hAnsi="Times New Roman"/>
          <w:bCs/>
          <w:sz w:val="28"/>
          <w:szCs w:val="36"/>
          <w:lang w:val="ru-RU" w:eastAsia="ru-RU"/>
        </w:rPr>
        <w:t xml:space="preserve"> - коштів обласного (районного) бюджету; </w:t>
      </w:r>
    </w:p>
    <w:p w:rsidR="00227FEF" w:rsidRDefault="00494B9D">
      <w:pPr>
        <w:ind w:left="708"/>
        <w:jc w:val="both"/>
        <w:outlineLvl w:val="1"/>
        <w:rPr>
          <w:rFonts w:ascii="Times New Roman" w:eastAsia="Times New Roman" w:hAnsi="Times New Roman"/>
          <w:bCs/>
          <w:sz w:val="28"/>
          <w:szCs w:val="36"/>
          <w:lang w:val="ru-RU" w:eastAsia="ru-RU"/>
        </w:rPr>
      </w:pPr>
      <w:r>
        <w:rPr>
          <w:rFonts w:ascii="Times New Roman" w:eastAsia="Times New Roman" w:hAnsi="Times New Roman"/>
          <w:bCs/>
          <w:sz w:val="28"/>
          <w:szCs w:val="36"/>
          <w:lang w:val="ru-RU" w:eastAsia="ru-RU"/>
        </w:rPr>
        <w:t>- коштів, які надходять до бюджетів в рамках програм допомоги і грантів Європейського Союзу, урядів іноземних держав, міжнародних організацій, донорських установ;</w:t>
      </w:r>
    </w:p>
    <w:p w:rsidR="00227FEF" w:rsidRDefault="00494B9D">
      <w:pPr>
        <w:ind w:left="708"/>
        <w:jc w:val="both"/>
        <w:outlineLvl w:val="1"/>
        <w:rPr>
          <w:rFonts w:ascii="Times New Roman" w:eastAsia="Times New Roman" w:hAnsi="Times New Roman"/>
          <w:bCs/>
          <w:sz w:val="28"/>
          <w:szCs w:val="36"/>
          <w:lang w:val="ru-RU" w:eastAsia="ru-RU"/>
        </w:rPr>
      </w:pPr>
      <w:r>
        <w:rPr>
          <w:rFonts w:ascii="Times New Roman" w:eastAsia="Times New Roman" w:hAnsi="Times New Roman"/>
          <w:bCs/>
          <w:sz w:val="28"/>
          <w:szCs w:val="36"/>
          <w:lang w:val="ru-RU" w:eastAsia="ru-RU"/>
        </w:rPr>
        <w:t xml:space="preserve">- інших джерел, не заборонених законодавством. </w:t>
      </w:r>
    </w:p>
    <w:p w:rsidR="00227FEF" w:rsidRDefault="00494B9D">
      <w:pPr>
        <w:ind w:firstLine="708"/>
        <w:jc w:val="both"/>
        <w:outlineLvl w:val="1"/>
        <w:rPr>
          <w:rFonts w:ascii="Times New Roman" w:eastAsia="Times New Roman" w:hAnsi="Times New Roman"/>
          <w:bCs/>
          <w:sz w:val="28"/>
          <w:szCs w:val="36"/>
          <w:lang w:val="ru-RU" w:eastAsia="ru-RU"/>
        </w:rPr>
      </w:pPr>
      <w:r>
        <w:rPr>
          <w:rFonts w:ascii="Times New Roman" w:eastAsia="Times New Roman" w:hAnsi="Times New Roman"/>
          <w:bCs/>
          <w:sz w:val="28"/>
          <w:szCs w:val="36"/>
          <w:lang w:val="ru-RU" w:eastAsia="ru-RU"/>
        </w:rPr>
        <w:t xml:space="preserve">Моніторинг впровадження Стратегії Результати моніторингу є основою для висновків про необхідність внесення змін (актуалізації) Стратегії та стимулювання її реалізації. Моніторинг впровадження Стратегії здійснюється щорічно на основі аналізу кількісних та якісних індикаторів, що демонструють рівень виконання </w:t>
      </w:r>
      <w:r>
        <w:rPr>
          <w:rFonts w:ascii="Times New Roman" w:eastAsia="Times New Roman" w:hAnsi="Times New Roman"/>
          <w:bCs/>
          <w:sz w:val="28"/>
          <w:szCs w:val="36"/>
          <w:lang w:val="ru-RU" w:eastAsia="ru-RU"/>
        </w:rPr>
        <w:lastRenderedPageBreak/>
        <w:t xml:space="preserve">стратегічних, оперативних цілей та завдань, зокрема шляхом порівняння базових (на початок реалізації Стратегії), прогнозованих проміжних (станом на конкретний період) і фактичних значень показників. Звіт про результати проведення моніторингу реалізації Стратегії готує Робоча група, узагальнення та формування його тексту здійснює Фінансовий відділ Тур’є-Рреметівської сільської ради. Голова Робочої групи (Голова сільської ради) в термін не пізніше одного місяця після закінчення звітного періоду представляє його на розгляд сесії відповідної ради. Крім того, звіт оприлюднюються на офіційному вебсайті сільської ради. Звіт про результати проведення моніторингу реалізації Стратегії включає узагальнену таблицю у формі згідно додатку 12 до Методичних рекомендацій щодо порядку розроблення, затвердження, реалізації, проведення моніторингу та оцінювання реалізації стратегій розвитку територіальних громад, затверджених наказом Міністерства розвитку громад та територій України від 21.12.2022 № 26533, та висновки у вигляді аналітичної довідки. Моніторинг виконання Плану заходів з реалізації Стратегії Моніторинг виконання Плану заходів з реалізації Стратегії здійснюється двічі на рік на основі відстеження виконання визначених індикаторів результативності впровадження кожного проєкту місцевого розвитку. Звіт про результати проведення моніторингу Плану заходів з реалізації Стратегії включає узагальнену таблицю у формі згідно додатку 13 до Методичних рекомендацій щодо порядку розроблення, затвердження, реалізації, проведення моніторингу та оцінювання реалізації стратегій розвитку територіальних громад, затверджених наказом Міністерства розвитку громад та територій України від 21.12.2022 № 265, та висновки у вигляді аналітичної довідки. Звіти про результати проведення моніторингу Плану заходів з реалізації Стратегії за перше півріччя та за рік готує Робоча група, узагальнення та формування їх тексту здійснює Фінансовий відділ </w:t>
      </w:r>
      <w:r>
        <w:rPr>
          <w:rFonts w:ascii="Times New Roman" w:eastAsia="Times New Roman" w:hAnsi="Times New Roman"/>
          <w:bCs/>
          <w:sz w:val="28"/>
          <w:szCs w:val="36"/>
          <w:lang w:val="uk-UA" w:eastAsia="ru-RU"/>
        </w:rPr>
        <w:t>Тур’є-</w:t>
      </w:r>
      <w:proofErr w:type="gramStart"/>
      <w:r>
        <w:rPr>
          <w:rFonts w:ascii="Times New Roman" w:eastAsia="Times New Roman" w:hAnsi="Times New Roman"/>
          <w:bCs/>
          <w:sz w:val="28"/>
          <w:szCs w:val="36"/>
          <w:lang w:val="uk-UA" w:eastAsia="ru-RU"/>
        </w:rPr>
        <w:t xml:space="preserve">Реметівської </w:t>
      </w:r>
      <w:r>
        <w:rPr>
          <w:rFonts w:ascii="Times New Roman" w:eastAsia="Times New Roman" w:hAnsi="Times New Roman"/>
          <w:bCs/>
          <w:sz w:val="28"/>
          <w:szCs w:val="36"/>
          <w:lang w:val="ru-RU" w:eastAsia="ru-RU"/>
        </w:rPr>
        <w:t xml:space="preserve"> сільської</w:t>
      </w:r>
      <w:proofErr w:type="gramEnd"/>
      <w:r>
        <w:rPr>
          <w:rFonts w:ascii="Times New Roman" w:eastAsia="Times New Roman" w:hAnsi="Times New Roman"/>
          <w:bCs/>
          <w:sz w:val="28"/>
          <w:szCs w:val="36"/>
          <w:lang w:val="ru-RU" w:eastAsia="ru-RU"/>
        </w:rPr>
        <w:t xml:space="preserve"> ради. Голова Робочої групи (</w:t>
      </w:r>
      <w:r w:rsidR="000605DF">
        <w:rPr>
          <w:rFonts w:ascii="Times New Roman" w:eastAsia="Times New Roman" w:hAnsi="Times New Roman"/>
          <w:bCs/>
          <w:sz w:val="28"/>
          <w:szCs w:val="36"/>
          <w:lang w:val="ru-RU" w:eastAsia="ru-RU"/>
        </w:rPr>
        <w:t>сільський г</w:t>
      </w:r>
      <w:r>
        <w:rPr>
          <w:rFonts w:ascii="Times New Roman" w:eastAsia="Times New Roman" w:hAnsi="Times New Roman"/>
          <w:bCs/>
          <w:sz w:val="28"/>
          <w:szCs w:val="36"/>
          <w:lang w:val="ru-RU" w:eastAsia="ru-RU"/>
        </w:rPr>
        <w:t>олова) в термін не пізніше одного місяця після закінчення звітного періоду представляє їх на розгляд сесії відповідної ради. Звіти оприлюднюються на офіційному вебсайті сільської ради. Оцінювання результатів реалізації Стратегії та Плану заходів проводиться після завершення строку їх реалізації на основі даних звітів проведеного моніторингу та є необхідним етапом для отримання інформації стосовно досягнення очікуваних результатів, їх впливу на стан соціально-економічного розвитку територіальної громади та інформації щодо сталості змін з метою прийняття в подальшому необхідних управлінських рішень та необхідних коригувань. На основі здійснення оцінювання складається заключний звіт, якому відображаються такі показники:</w:t>
      </w:r>
    </w:p>
    <w:p w:rsidR="00227FEF" w:rsidRDefault="00494B9D">
      <w:pPr>
        <w:ind w:left="708"/>
        <w:jc w:val="both"/>
        <w:outlineLvl w:val="1"/>
        <w:rPr>
          <w:rFonts w:ascii="Times New Roman" w:eastAsia="Times New Roman" w:hAnsi="Times New Roman"/>
          <w:bCs/>
          <w:sz w:val="28"/>
          <w:szCs w:val="36"/>
          <w:lang w:val="ru-RU" w:eastAsia="ru-RU"/>
        </w:rPr>
      </w:pPr>
      <w:r>
        <w:rPr>
          <w:rFonts w:ascii="Times New Roman" w:eastAsia="Times New Roman" w:hAnsi="Times New Roman"/>
          <w:bCs/>
          <w:sz w:val="28"/>
          <w:szCs w:val="36"/>
          <w:lang w:val="ru-RU" w:eastAsia="ru-RU"/>
        </w:rPr>
        <w:t xml:space="preserve"> - результати порівняння базових (на початок реалізації Стратегії), прогнозованих цільових (станом на останній період) і фактичних значень показників;</w:t>
      </w:r>
    </w:p>
    <w:p w:rsidR="00227FEF" w:rsidRDefault="00494B9D">
      <w:pPr>
        <w:ind w:left="708"/>
        <w:jc w:val="both"/>
        <w:outlineLvl w:val="1"/>
        <w:rPr>
          <w:rFonts w:ascii="Times New Roman" w:eastAsia="Times New Roman" w:hAnsi="Times New Roman"/>
          <w:bCs/>
          <w:sz w:val="28"/>
          <w:szCs w:val="36"/>
          <w:lang w:val="ru-RU" w:eastAsia="ru-RU"/>
        </w:rPr>
      </w:pPr>
      <w:r>
        <w:rPr>
          <w:rFonts w:ascii="Times New Roman" w:eastAsia="Times New Roman" w:hAnsi="Times New Roman"/>
          <w:bCs/>
          <w:sz w:val="28"/>
          <w:szCs w:val="36"/>
          <w:lang w:val="ru-RU" w:eastAsia="ru-RU"/>
        </w:rPr>
        <w:t xml:space="preserve"> - досягнення запланованих цілей;</w:t>
      </w:r>
    </w:p>
    <w:p w:rsidR="00227FEF" w:rsidRDefault="00494B9D">
      <w:pPr>
        <w:ind w:left="708"/>
        <w:jc w:val="both"/>
        <w:outlineLvl w:val="1"/>
        <w:rPr>
          <w:rFonts w:ascii="Times New Roman" w:eastAsia="Times New Roman" w:hAnsi="Times New Roman"/>
          <w:bCs/>
          <w:sz w:val="28"/>
          <w:szCs w:val="36"/>
          <w:lang w:val="ru-RU" w:eastAsia="ru-RU"/>
        </w:rPr>
      </w:pPr>
      <w:r>
        <w:rPr>
          <w:rFonts w:ascii="Times New Roman" w:eastAsia="Times New Roman" w:hAnsi="Times New Roman"/>
          <w:bCs/>
          <w:sz w:val="28"/>
          <w:szCs w:val="36"/>
          <w:lang w:val="ru-RU" w:eastAsia="ru-RU"/>
        </w:rPr>
        <w:t xml:space="preserve">- задоволення потреб різних груп заінтересованих осіб; </w:t>
      </w:r>
    </w:p>
    <w:p w:rsidR="00227FEF" w:rsidRDefault="00494B9D">
      <w:pPr>
        <w:ind w:left="708"/>
        <w:jc w:val="both"/>
        <w:outlineLvl w:val="1"/>
        <w:rPr>
          <w:rFonts w:ascii="Times New Roman" w:eastAsia="Times New Roman" w:hAnsi="Times New Roman"/>
          <w:bCs/>
          <w:sz w:val="28"/>
          <w:szCs w:val="36"/>
          <w:lang w:val="ru-RU" w:eastAsia="ru-RU"/>
        </w:rPr>
      </w:pPr>
      <w:r>
        <w:rPr>
          <w:rFonts w:ascii="Times New Roman" w:eastAsia="Times New Roman" w:hAnsi="Times New Roman"/>
          <w:bCs/>
          <w:sz w:val="28"/>
          <w:szCs w:val="36"/>
          <w:lang w:val="ru-RU" w:eastAsia="ru-RU"/>
        </w:rPr>
        <w:t xml:space="preserve">- наявних незапланованих змін та впливів; </w:t>
      </w:r>
    </w:p>
    <w:p w:rsidR="00227FEF" w:rsidRDefault="00494B9D">
      <w:pPr>
        <w:ind w:left="708"/>
        <w:jc w:val="both"/>
        <w:outlineLvl w:val="1"/>
        <w:rPr>
          <w:rFonts w:ascii="Times New Roman" w:eastAsia="Times New Roman" w:hAnsi="Times New Roman"/>
          <w:bCs/>
          <w:sz w:val="28"/>
          <w:szCs w:val="36"/>
          <w:lang w:val="ru-RU" w:eastAsia="ru-RU"/>
        </w:rPr>
      </w:pPr>
      <w:r>
        <w:rPr>
          <w:rFonts w:ascii="Times New Roman" w:eastAsia="Times New Roman" w:hAnsi="Times New Roman"/>
          <w:bCs/>
          <w:sz w:val="28"/>
          <w:szCs w:val="36"/>
          <w:lang w:val="ru-RU" w:eastAsia="ru-RU"/>
        </w:rPr>
        <w:t xml:space="preserve">- діяльності, що призвела до змін (зокрема незапланованих); </w:t>
      </w:r>
    </w:p>
    <w:p w:rsidR="00227FEF" w:rsidRDefault="00494B9D">
      <w:pPr>
        <w:ind w:left="708"/>
        <w:jc w:val="both"/>
        <w:outlineLvl w:val="1"/>
        <w:rPr>
          <w:rFonts w:ascii="Times New Roman" w:eastAsia="Times New Roman" w:hAnsi="Times New Roman"/>
          <w:bCs/>
          <w:sz w:val="28"/>
          <w:szCs w:val="36"/>
          <w:lang w:val="ru-RU" w:eastAsia="ru-RU"/>
        </w:rPr>
      </w:pPr>
      <w:r>
        <w:rPr>
          <w:rFonts w:ascii="Times New Roman" w:eastAsia="Times New Roman" w:hAnsi="Times New Roman"/>
          <w:bCs/>
          <w:sz w:val="28"/>
          <w:szCs w:val="36"/>
          <w:lang w:val="ru-RU" w:eastAsia="ru-RU"/>
        </w:rPr>
        <w:t>- ефективності механізмів реалізації Стратегії або ресурсних витрат;</w:t>
      </w:r>
    </w:p>
    <w:p w:rsidR="00227FEF" w:rsidRDefault="00494B9D" w:rsidP="001A0378">
      <w:pPr>
        <w:ind w:left="708"/>
        <w:jc w:val="both"/>
        <w:outlineLvl w:val="1"/>
        <w:rPr>
          <w:rFonts w:ascii="Times New Roman" w:eastAsia="Times New Roman" w:hAnsi="Times New Roman"/>
          <w:bCs/>
          <w:sz w:val="28"/>
          <w:szCs w:val="36"/>
          <w:lang w:val="ru-RU" w:eastAsia="ru-RU"/>
        </w:rPr>
      </w:pPr>
      <w:r>
        <w:rPr>
          <w:rFonts w:ascii="Times New Roman" w:eastAsia="Times New Roman" w:hAnsi="Times New Roman"/>
          <w:bCs/>
          <w:sz w:val="28"/>
          <w:szCs w:val="36"/>
          <w:lang w:val="ru-RU" w:eastAsia="ru-RU"/>
        </w:rPr>
        <w:lastRenderedPageBreak/>
        <w:t>- стійкості результатів Стратегії тощо.</w:t>
      </w:r>
    </w:p>
    <w:p w:rsidR="00227FEF" w:rsidRDefault="00494B9D" w:rsidP="001A0378">
      <w:pPr>
        <w:spacing w:before="280"/>
        <w:jc w:val="both"/>
        <w:outlineLvl w:val="1"/>
        <w:rPr>
          <w:rFonts w:ascii="Times New Roman" w:eastAsia="Times New Roman" w:hAnsi="Times New Roman"/>
          <w:bCs/>
          <w:sz w:val="28"/>
          <w:szCs w:val="36"/>
          <w:lang w:val="ru-RU" w:eastAsia="ru-RU"/>
        </w:rPr>
      </w:pPr>
      <w:r>
        <w:rPr>
          <w:rFonts w:ascii="Times New Roman" w:eastAsia="Times New Roman" w:hAnsi="Times New Roman"/>
          <w:bCs/>
          <w:sz w:val="28"/>
          <w:szCs w:val="36"/>
          <w:lang w:val="ru-RU" w:eastAsia="ru-RU"/>
        </w:rPr>
        <w:t xml:space="preserve"> </w:t>
      </w:r>
      <w:r>
        <w:rPr>
          <w:rFonts w:ascii="Times New Roman" w:eastAsia="Times New Roman" w:hAnsi="Times New Roman"/>
          <w:bCs/>
          <w:sz w:val="28"/>
          <w:szCs w:val="36"/>
          <w:lang w:val="ru-RU" w:eastAsia="ru-RU"/>
        </w:rPr>
        <w:tab/>
        <w:t>Оцінювання може бути внутрішнім (проводиться виконавцями Стратегії) та зовнішнім (проводиться залученими експертами). Звіти про оцінювання результатів реалізації Стратегії та Плану заходів готує Робоча група, узагальнення та формування їх тексту здійснює Фінансовий відділ Тур’є-Реметівської сільської ради. Голова Робочої групи (</w:t>
      </w:r>
      <w:r w:rsidR="00092F93">
        <w:rPr>
          <w:rFonts w:ascii="Times New Roman" w:eastAsia="Times New Roman" w:hAnsi="Times New Roman"/>
          <w:bCs/>
          <w:sz w:val="28"/>
          <w:szCs w:val="36"/>
          <w:lang w:val="ru-RU" w:eastAsia="ru-RU"/>
        </w:rPr>
        <w:t>сільський голова</w:t>
      </w:r>
      <w:r>
        <w:rPr>
          <w:rFonts w:ascii="Times New Roman" w:eastAsia="Times New Roman" w:hAnsi="Times New Roman"/>
          <w:bCs/>
          <w:sz w:val="28"/>
          <w:szCs w:val="36"/>
          <w:lang w:val="ru-RU" w:eastAsia="ru-RU"/>
        </w:rPr>
        <w:t>) в термін не пізніше трьох місяців після закінчення періоду реалізації Стратегії та Плану заходів представляє їх на розгляд сесії сільської ради. Крім того, заключні звіти про оцінювання результатів реалізації Стратегії та Плану заходів оприлюднюються на офіційному вебсайті громади та/або у місцевих засобах масової інформації.</w:t>
      </w:r>
    </w:p>
    <w:p w:rsidR="00227FEF" w:rsidRDefault="00227FEF">
      <w:pPr>
        <w:spacing w:after="160" w:line="256" w:lineRule="auto"/>
        <w:jc w:val="both"/>
        <w:rPr>
          <w:rFonts w:ascii="Times New Roman" w:eastAsia="Calibri" w:hAnsi="Times New Roman"/>
          <w:bCs/>
          <w:sz w:val="22"/>
          <w:szCs w:val="22"/>
          <w:lang w:val="uk-UA" w:eastAsia="en-US"/>
        </w:rPr>
      </w:pPr>
      <w:bookmarkStart w:id="4" w:name="_GoBack"/>
      <w:bookmarkEnd w:id="4"/>
    </w:p>
    <w:p w:rsidR="00227FEF" w:rsidRDefault="00227FEF">
      <w:pPr>
        <w:spacing w:line="276" w:lineRule="auto"/>
        <w:ind w:firstLine="708"/>
        <w:jc w:val="both"/>
        <w:rPr>
          <w:rFonts w:ascii="Times New Roman" w:eastAsia="Arial" w:hAnsi="Times New Roman"/>
          <w:sz w:val="28"/>
          <w:szCs w:val="28"/>
          <w:shd w:val="clear" w:color="auto" w:fill="F4CCCC"/>
          <w:lang w:val="uk-UA" w:eastAsia="ru-RU"/>
        </w:rPr>
      </w:pPr>
    </w:p>
    <w:p w:rsidR="00227FEF" w:rsidRDefault="00227FEF">
      <w:pPr>
        <w:spacing w:line="360" w:lineRule="auto"/>
        <w:jc w:val="both"/>
        <w:rPr>
          <w:rFonts w:ascii="Times New Roman" w:eastAsia="Calibri" w:hAnsi="Times New Roman"/>
          <w:sz w:val="28"/>
          <w:szCs w:val="28"/>
          <w:shd w:val="clear" w:color="auto" w:fill="F4CCCC"/>
          <w:lang w:val="uk-UA" w:eastAsia="en-US"/>
        </w:rPr>
      </w:pPr>
    </w:p>
    <w:p w:rsidR="00227FEF" w:rsidRDefault="00227FEF">
      <w:pPr>
        <w:rPr>
          <w:rFonts w:ascii="Times New Roman" w:eastAsia="Calibri" w:hAnsi="Times New Roman"/>
          <w:sz w:val="28"/>
          <w:szCs w:val="28"/>
          <w:lang w:val="uk-UA" w:eastAsia="en-US"/>
        </w:rPr>
      </w:pPr>
    </w:p>
    <w:p w:rsidR="00227FEF" w:rsidRDefault="00227FEF">
      <w:pPr>
        <w:rPr>
          <w:rFonts w:ascii="Times New Roman" w:eastAsia="Arial" w:hAnsi="Times New Roman"/>
          <w:sz w:val="28"/>
          <w:szCs w:val="28"/>
          <w:lang w:val="uk-UA"/>
        </w:rPr>
      </w:pPr>
    </w:p>
    <w:sectPr w:rsidR="00227FEF" w:rsidSect="00AC1C09">
      <w:pgSz w:w="11906" w:h="16838"/>
      <w:pgMar w:top="1440" w:right="707" w:bottom="1440" w:left="1080"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3A90" w:rsidRDefault="00E83A90">
      <w:r>
        <w:separator/>
      </w:r>
    </w:p>
  </w:endnote>
  <w:endnote w:type="continuationSeparator" w:id="0">
    <w:p w:rsidR="00E83A90" w:rsidRDefault="00E83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Noto Serif CJK SC">
    <w:panose1 w:val="00000000000000000000"/>
    <w:charset w:val="00"/>
    <w:family w:val="roman"/>
    <w:notTrueType/>
    <w:pitch w:val="default"/>
  </w:font>
  <w:font w:name="FreeSans">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SimSun;宋体">
    <w:altName w:val="MS Gothic"/>
    <w:panose1 w:val="00000000000000000000"/>
    <w:charset w:val="80"/>
    <w:family w:val="roman"/>
    <w:notTrueType/>
    <w:pitch w:val="default"/>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3A90" w:rsidRDefault="00E83A90">
      <w:pPr>
        <w:rPr>
          <w:sz w:val="12"/>
        </w:rPr>
      </w:pPr>
      <w:r>
        <w:separator/>
      </w:r>
    </w:p>
  </w:footnote>
  <w:footnote w:type="continuationSeparator" w:id="0">
    <w:p w:rsidR="00E83A90" w:rsidRDefault="00E83A90">
      <w:pPr>
        <w:rPr>
          <w:sz w:val="12"/>
        </w:rPr>
      </w:pPr>
      <w:r>
        <w:continuationSeparator/>
      </w:r>
    </w:p>
  </w:footnote>
  <w:footnote w:id="1">
    <w:p w:rsidR="00F155F9" w:rsidRDefault="00F155F9">
      <w:pPr>
        <w:pStyle w:val="ac"/>
      </w:pPr>
      <w:r>
        <w:rPr>
          <w:rStyle w:val="FootnoteCharacters"/>
        </w:rPr>
        <w:footnoteRef/>
      </w:r>
      <w:r>
        <w:t xml:space="preserve"> </w:t>
      </w:r>
      <w:r>
        <w:rPr>
          <w:rFonts w:ascii="Times New Roman" w:hAnsi="Times New Roman" w:cs="Times New Roman"/>
          <w:color w:val="0070C0"/>
          <w:sz w:val="24"/>
          <w:szCs w:val="24"/>
        </w:rPr>
        <w:t>http://zakarpatoblarch.gov.ua/wp-content/uploads/2019/01/130517_731-01.pdf</w:t>
      </w:r>
    </w:p>
  </w:footnote>
  <w:footnote w:id="2">
    <w:p w:rsidR="00F155F9" w:rsidRDefault="00F155F9">
      <w:pPr>
        <w:pStyle w:val="ac"/>
      </w:pPr>
      <w:r>
        <w:rPr>
          <w:rStyle w:val="FootnoteCharacters"/>
        </w:rPr>
        <w:footnoteRef/>
      </w:r>
      <w:r>
        <w:rPr>
          <w:lang w:val="uk-UA"/>
        </w:rPr>
        <w:t xml:space="preserve"> </w:t>
      </w:r>
      <w:r>
        <w:t>https</w:t>
      </w:r>
      <w:r>
        <w:rPr>
          <w:lang w:val="uk-UA"/>
        </w:rPr>
        <w:t>://</w:t>
      </w:r>
      <w:r>
        <w:t>openbudget</w:t>
      </w:r>
      <w:r>
        <w:rPr>
          <w:lang w:val="uk-UA"/>
        </w:rPr>
        <w:t>.</w:t>
      </w:r>
      <w:r>
        <w:t>gov</w:t>
      </w:r>
      <w:r>
        <w:rPr>
          <w:lang w:val="uk-UA"/>
        </w:rPr>
        <w:t>.</w:t>
      </w:r>
      <w:r>
        <w:t>ua</w:t>
      </w:r>
      <w:r>
        <w:rPr>
          <w:lang w:val="uk-UA"/>
        </w:rPr>
        <w:t>/</w:t>
      </w:r>
      <w:r>
        <w:t>local</w:t>
      </w:r>
      <w:r>
        <w:rPr>
          <w:lang w:val="uk-UA"/>
        </w:rPr>
        <w:t>-</w:t>
      </w:r>
      <w:r>
        <w:t>budget</w:t>
      </w:r>
      <w:r>
        <w:rPr>
          <w:lang w:val="uk-UA"/>
        </w:rPr>
        <w:t>/0755700000/</w:t>
      </w:r>
      <w:r>
        <w:t>info</w:t>
      </w:r>
      <w:r>
        <w:rPr>
          <w:lang w:val="uk-UA"/>
        </w:rPr>
        <w:t>/</w:t>
      </w:r>
      <w:r>
        <w:t>indicators</w:t>
      </w:r>
    </w:p>
  </w:footnote>
  <w:footnote w:id="3">
    <w:p w:rsidR="00F155F9" w:rsidRDefault="00F155F9">
      <w:pPr>
        <w:pStyle w:val="ac"/>
      </w:pPr>
      <w:r>
        <w:rPr>
          <w:rStyle w:val="FootnoteCharacters"/>
        </w:rPr>
        <w:footnoteRef/>
      </w:r>
      <w:r>
        <w:rPr>
          <w:lang w:val="uk-UA"/>
        </w:rPr>
        <w:t xml:space="preserve"> </w:t>
      </w:r>
      <w:r>
        <w:t>https</w:t>
      </w:r>
      <w:r>
        <w:rPr>
          <w:lang w:val="uk-UA"/>
        </w:rPr>
        <w:t>://</w:t>
      </w:r>
      <w:r>
        <w:t>openbudget</w:t>
      </w:r>
      <w:r>
        <w:rPr>
          <w:lang w:val="uk-UA"/>
        </w:rPr>
        <w:t>.</w:t>
      </w:r>
      <w:r>
        <w:t>gov</w:t>
      </w:r>
      <w:r>
        <w:rPr>
          <w:lang w:val="uk-UA"/>
        </w:rPr>
        <w:t>.</w:t>
      </w:r>
      <w:r>
        <w:t>ua</w:t>
      </w:r>
      <w:r>
        <w:rPr>
          <w:lang w:val="uk-UA"/>
        </w:rPr>
        <w:t>/</w:t>
      </w:r>
      <w:r>
        <w:t>local</w:t>
      </w:r>
      <w:r>
        <w:rPr>
          <w:lang w:val="uk-UA"/>
        </w:rPr>
        <w:t>-</w:t>
      </w:r>
      <w:r>
        <w:t>budget</w:t>
      </w:r>
      <w:r>
        <w:rPr>
          <w:lang w:val="uk-UA"/>
        </w:rPr>
        <w:t>/0755700000/</w:t>
      </w:r>
      <w:r>
        <w:t>info</w:t>
      </w:r>
      <w:r>
        <w:rPr>
          <w:lang w:val="uk-UA"/>
        </w:rPr>
        <w:t>/</w:t>
      </w:r>
      <w:r>
        <w:t>indicators</w:t>
      </w:r>
    </w:p>
  </w:footnote>
  <w:footnote w:id="4">
    <w:p w:rsidR="00F155F9" w:rsidRDefault="00F155F9">
      <w:pPr>
        <w:pStyle w:val="ac"/>
      </w:pPr>
      <w:r>
        <w:rPr>
          <w:rStyle w:val="FootnoteCharacters"/>
        </w:rPr>
        <w:footnoteRef/>
      </w:r>
      <w:r>
        <w:rPr>
          <w:lang w:val="uk-UA"/>
        </w:rPr>
        <w:t xml:space="preserve"> </w:t>
      </w:r>
      <w:r>
        <w:t>https</w:t>
      </w:r>
      <w:r>
        <w:rPr>
          <w:lang w:val="uk-UA"/>
        </w:rPr>
        <w:t>://</w:t>
      </w:r>
      <w:r>
        <w:t>openbudget</w:t>
      </w:r>
      <w:r>
        <w:rPr>
          <w:lang w:val="uk-UA"/>
        </w:rPr>
        <w:t>.</w:t>
      </w:r>
      <w:r>
        <w:t>gov</w:t>
      </w:r>
      <w:r>
        <w:rPr>
          <w:lang w:val="uk-UA"/>
        </w:rPr>
        <w:t>.</w:t>
      </w:r>
      <w:r>
        <w:t>ua</w:t>
      </w:r>
      <w:r>
        <w:rPr>
          <w:lang w:val="uk-UA"/>
        </w:rPr>
        <w:t>/</w:t>
      </w:r>
      <w:r>
        <w:t>local</w:t>
      </w:r>
      <w:r>
        <w:rPr>
          <w:lang w:val="uk-UA"/>
        </w:rPr>
        <w:t>-</w:t>
      </w:r>
      <w:r>
        <w:t>budget</w:t>
      </w:r>
      <w:r>
        <w:rPr>
          <w:lang w:val="uk-UA"/>
        </w:rPr>
        <w:t>/0755700000/</w:t>
      </w:r>
      <w:r>
        <w:t>info</w:t>
      </w:r>
      <w:r>
        <w:rPr>
          <w:lang w:val="uk-UA"/>
        </w:rPr>
        <w:t>/</w:t>
      </w:r>
      <w:r>
        <w:t>indicators</w:t>
      </w:r>
    </w:p>
  </w:footnote>
  <w:footnote w:id="5">
    <w:p w:rsidR="00F155F9" w:rsidRDefault="00F155F9">
      <w:pPr>
        <w:pStyle w:val="ac"/>
      </w:pPr>
      <w:r>
        <w:rPr>
          <w:rStyle w:val="FootnoteCharacters"/>
        </w:rPr>
        <w:footnoteRef/>
      </w:r>
      <w:r>
        <w:rPr>
          <w:lang w:val="uk-UA"/>
        </w:rPr>
        <w:t xml:space="preserve"> </w:t>
      </w:r>
      <w:r>
        <w:t>https</w:t>
      </w:r>
      <w:r>
        <w:rPr>
          <w:lang w:val="uk-UA"/>
        </w:rPr>
        <w:t>://</w:t>
      </w:r>
      <w:r>
        <w:t>openbudget</w:t>
      </w:r>
      <w:r>
        <w:rPr>
          <w:lang w:val="uk-UA"/>
        </w:rPr>
        <w:t>.</w:t>
      </w:r>
      <w:r>
        <w:t>gov</w:t>
      </w:r>
      <w:r>
        <w:rPr>
          <w:lang w:val="uk-UA"/>
        </w:rPr>
        <w:t>.</w:t>
      </w:r>
      <w:r>
        <w:t>ua</w:t>
      </w:r>
      <w:r>
        <w:rPr>
          <w:lang w:val="uk-UA"/>
        </w:rPr>
        <w:t>/</w:t>
      </w:r>
      <w:r>
        <w:t>local</w:t>
      </w:r>
      <w:r>
        <w:rPr>
          <w:lang w:val="uk-UA"/>
        </w:rPr>
        <w:t>-</w:t>
      </w:r>
      <w:r>
        <w:t>budget</w:t>
      </w:r>
      <w:r>
        <w:rPr>
          <w:lang w:val="uk-UA"/>
        </w:rPr>
        <w:t>/0755700000/</w:t>
      </w:r>
      <w:r>
        <w:t>info</w:t>
      </w:r>
      <w:r>
        <w:rPr>
          <w:lang w:val="uk-UA"/>
        </w:rPr>
        <w:t>/</w:t>
      </w:r>
      <w:r>
        <w:t>indicators</w:t>
      </w:r>
    </w:p>
  </w:footnote>
  <w:footnote w:id="6">
    <w:p w:rsidR="00F155F9" w:rsidRDefault="00F155F9">
      <w:pPr>
        <w:pStyle w:val="ac"/>
      </w:pPr>
      <w:r>
        <w:rPr>
          <w:rStyle w:val="FootnoteCharacters"/>
        </w:rPr>
        <w:footnoteRef/>
      </w:r>
      <w:r>
        <w:rPr>
          <w:lang w:val="uk-UA"/>
        </w:rPr>
        <w:t xml:space="preserve"> </w:t>
      </w:r>
      <w:r>
        <w:t>https</w:t>
      </w:r>
      <w:r>
        <w:rPr>
          <w:lang w:val="uk-UA"/>
        </w:rPr>
        <w:t>://</w:t>
      </w:r>
      <w:r>
        <w:t>openbudget</w:t>
      </w:r>
      <w:r>
        <w:rPr>
          <w:lang w:val="uk-UA"/>
        </w:rPr>
        <w:t>.</w:t>
      </w:r>
      <w:r>
        <w:t>gov</w:t>
      </w:r>
      <w:r>
        <w:rPr>
          <w:lang w:val="uk-UA"/>
        </w:rPr>
        <w:t>.</w:t>
      </w:r>
      <w:r>
        <w:t>ua</w:t>
      </w:r>
      <w:r>
        <w:rPr>
          <w:lang w:val="uk-UA"/>
        </w:rPr>
        <w:t>/</w:t>
      </w:r>
      <w:r>
        <w:t>local</w:t>
      </w:r>
      <w:r>
        <w:rPr>
          <w:lang w:val="uk-UA"/>
        </w:rPr>
        <w:t>-</w:t>
      </w:r>
      <w:r>
        <w:t>budget</w:t>
      </w:r>
      <w:r>
        <w:rPr>
          <w:lang w:val="uk-UA"/>
        </w:rPr>
        <w:t>/0755700000/</w:t>
      </w:r>
      <w:r>
        <w:t>info</w:t>
      </w:r>
      <w:r>
        <w:rPr>
          <w:lang w:val="uk-UA"/>
        </w:rPr>
        <w:t>/</w:t>
      </w:r>
      <w:r>
        <w:t>indicators</w:t>
      </w:r>
    </w:p>
  </w:footnote>
  <w:footnote w:id="7">
    <w:p w:rsidR="00F155F9" w:rsidRDefault="00F155F9">
      <w:pPr>
        <w:pStyle w:val="ac"/>
      </w:pPr>
      <w:r>
        <w:rPr>
          <w:rStyle w:val="FootnoteCharacters"/>
        </w:rPr>
        <w:footnoteRef/>
      </w:r>
      <w:r>
        <w:rPr>
          <w:lang w:val="uk-UA"/>
        </w:rPr>
        <w:t xml:space="preserve"> </w:t>
      </w:r>
      <w:r>
        <w:t>https</w:t>
      </w:r>
      <w:r>
        <w:rPr>
          <w:lang w:val="uk-UA"/>
        </w:rPr>
        <w:t>://</w:t>
      </w:r>
      <w:r>
        <w:t>openbudget</w:t>
      </w:r>
      <w:r>
        <w:rPr>
          <w:lang w:val="uk-UA"/>
        </w:rPr>
        <w:t>.</w:t>
      </w:r>
      <w:r>
        <w:t>gov</w:t>
      </w:r>
      <w:r>
        <w:rPr>
          <w:lang w:val="uk-UA"/>
        </w:rPr>
        <w:t>.</w:t>
      </w:r>
      <w:r>
        <w:t>ua</w:t>
      </w:r>
      <w:r>
        <w:rPr>
          <w:lang w:val="uk-UA"/>
        </w:rPr>
        <w:t>/</w:t>
      </w:r>
      <w:r>
        <w:t>local</w:t>
      </w:r>
      <w:r>
        <w:rPr>
          <w:lang w:val="uk-UA"/>
        </w:rPr>
        <w:t>-</w:t>
      </w:r>
      <w:r>
        <w:t>budget</w:t>
      </w:r>
      <w:r>
        <w:rPr>
          <w:lang w:val="uk-UA"/>
        </w:rPr>
        <w:t>/0755700000/</w:t>
      </w:r>
      <w:r>
        <w:t>info</w:t>
      </w:r>
      <w:r>
        <w:rPr>
          <w:lang w:val="uk-UA"/>
        </w:rPr>
        <w:t>/</w:t>
      </w:r>
      <w:r>
        <w:t>indicators</w:t>
      </w:r>
    </w:p>
  </w:footnote>
  <w:footnote w:id="8">
    <w:p w:rsidR="00F155F9" w:rsidRDefault="00F155F9">
      <w:pPr>
        <w:pStyle w:val="ac"/>
      </w:pPr>
      <w:r>
        <w:rPr>
          <w:rStyle w:val="FootnoteCharacters"/>
        </w:rPr>
        <w:footnoteRef/>
      </w:r>
      <w:r>
        <w:rPr>
          <w:lang w:val="uk-UA"/>
        </w:rPr>
        <w:t xml:space="preserve"> </w:t>
      </w:r>
      <w:r>
        <w:t>https</w:t>
      </w:r>
      <w:r>
        <w:rPr>
          <w:lang w:val="uk-UA"/>
        </w:rPr>
        <w:t>://</w:t>
      </w:r>
      <w:r>
        <w:t>decentralization</w:t>
      </w:r>
      <w:r>
        <w:rPr>
          <w:lang w:val="uk-UA"/>
        </w:rPr>
        <w:t>.</w:t>
      </w:r>
      <w:r>
        <w:t>ua</w:t>
      </w:r>
      <w:r>
        <w:rPr>
          <w:lang w:val="uk-UA"/>
        </w:rPr>
        <w:t>/</w:t>
      </w:r>
      <w:r>
        <w:t>uploads</w:t>
      </w:r>
      <w:r>
        <w:rPr>
          <w:lang w:val="uk-UA"/>
        </w:rPr>
        <w:t>/</w:t>
      </w:r>
      <w:r>
        <w:t>attachment</w:t>
      </w:r>
      <w:r>
        <w:rPr>
          <w:lang w:val="uk-UA"/>
        </w:rPr>
        <w:t>/</w:t>
      </w:r>
      <w:r>
        <w:t>document</w:t>
      </w:r>
      <w:r>
        <w:rPr>
          <w:lang w:val="uk-UA"/>
        </w:rPr>
        <w:t>/1708/%</w:t>
      </w:r>
      <w:r>
        <w:t>D</w:t>
      </w:r>
      <w:r>
        <w:rPr>
          <w:lang w:val="uk-UA"/>
        </w:rPr>
        <w:t>0%97%</w:t>
      </w:r>
      <w:r>
        <w:t>D</w:t>
      </w:r>
      <w:r>
        <w:rPr>
          <w:lang w:val="uk-UA"/>
        </w:rPr>
        <w:t>0%</w:t>
      </w:r>
      <w:r>
        <w:t>B</w:t>
      </w:r>
      <w:r>
        <w:rPr>
          <w:lang w:val="uk-UA"/>
        </w:rPr>
        <w:t>0%</w:t>
      </w:r>
      <w:r>
        <w:t>D</w:t>
      </w:r>
      <w:r>
        <w:rPr>
          <w:lang w:val="uk-UA"/>
        </w:rPr>
        <w:t>0%</w:t>
      </w:r>
      <w:r>
        <w:t>BA</w:t>
      </w:r>
      <w:r>
        <w:rPr>
          <w:lang w:val="uk-UA"/>
        </w:rPr>
        <w:t>%</w:t>
      </w:r>
      <w:r>
        <w:t>D</w:t>
      </w:r>
      <w:r>
        <w:rPr>
          <w:lang w:val="uk-UA"/>
        </w:rPr>
        <w:t>0%</w:t>
      </w:r>
      <w:r>
        <w:t>B</w:t>
      </w:r>
      <w:r>
        <w:rPr>
          <w:lang w:val="uk-UA"/>
        </w:rPr>
        <w:t>0%</w:t>
      </w:r>
      <w:r>
        <w:t>D</w:t>
      </w:r>
      <w:r>
        <w:rPr>
          <w:lang w:val="uk-UA"/>
        </w:rPr>
        <w:t>1%80%</w:t>
      </w:r>
      <w:r>
        <w:t>D</w:t>
      </w:r>
      <w:r>
        <w:rPr>
          <w:lang w:val="uk-UA"/>
        </w:rPr>
        <w:t>0%</w:t>
      </w:r>
      <w:r>
        <w:t>BF</w:t>
      </w:r>
      <w:r>
        <w:rPr>
          <w:lang w:val="uk-UA"/>
        </w:rPr>
        <w:t>%</w:t>
      </w:r>
      <w:r>
        <w:t>D</w:t>
      </w:r>
      <w:r>
        <w:rPr>
          <w:lang w:val="uk-UA"/>
        </w:rPr>
        <w:t>0%</w:t>
      </w:r>
      <w:r>
        <w:t>B</w:t>
      </w:r>
      <w:r>
        <w:rPr>
          <w:lang w:val="uk-UA"/>
        </w:rPr>
        <w:t>0%</w:t>
      </w:r>
      <w:r>
        <w:t>D</w:t>
      </w:r>
      <w:r>
        <w:rPr>
          <w:lang w:val="uk-UA"/>
        </w:rPr>
        <w:t>1%82%</w:t>
      </w:r>
      <w:r>
        <w:t>D</w:t>
      </w:r>
      <w:r>
        <w:rPr>
          <w:lang w:val="uk-UA"/>
        </w:rPr>
        <w:t>1%81%</w:t>
      </w:r>
      <w:r>
        <w:t>D</w:t>
      </w:r>
      <w:r>
        <w:rPr>
          <w:lang w:val="uk-UA"/>
        </w:rPr>
        <w:t>1%8</w:t>
      </w:r>
      <w:r>
        <w:t>C</w:t>
      </w:r>
      <w:r>
        <w:rPr>
          <w:lang w:val="uk-UA"/>
        </w:rPr>
        <w:t>%</w:t>
      </w:r>
      <w:r>
        <w:t>D</w:t>
      </w:r>
      <w:r>
        <w:rPr>
          <w:lang w:val="uk-UA"/>
        </w:rPr>
        <w:t>0%</w:t>
      </w:r>
      <w:r>
        <w:t>BA</w:t>
      </w:r>
      <w:r>
        <w:rPr>
          <w:lang w:val="uk-UA"/>
        </w:rPr>
        <w:t>%</w:t>
      </w:r>
      <w:r>
        <w:t>D</w:t>
      </w:r>
      <w:r>
        <w:rPr>
          <w:lang w:val="uk-UA"/>
        </w:rPr>
        <w:t>0%</w:t>
      </w:r>
      <w:r>
        <w:t>B</w:t>
      </w:r>
      <w:r>
        <w:rPr>
          <w:lang w:val="uk-UA"/>
        </w:rPr>
        <w:t>0.</w:t>
      </w:r>
      <w:r>
        <w:t>pdf</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B721D"/>
    <w:multiLevelType w:val="multilevel"/>
    <w:tmpl w:val="39C47C70"/>
    <w:lvl w:ilvl="0">
      <w:start w:val="1"/>
      <w:numFmt w:val="bullet"/>
      <w:lvlText w:val=""/>
      <w:lvlJc w:val="left"/>
      <w:pPr>
        <w:tabs>
          <w:tab w:val="num" w:pos="0"/>
        </w:tabs>
        <w:ind w:left="600" w:hanging="30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35076E"/>
    <w:multiLevelType w:val="multilevel"/>
    <w:tmpl w:val="6AAA589E"/>
    <w:lvl w:ilvl="0">
      <w:start w:val="1"/>
      <w:numFmt w:val="bullet"/>
      <w:lvlText w:val=""/>
      <w:lvlJc w:val="left"/>
      <w:pPr>
        <w:tabs>
          <w:tab w:val="num" w:pos="708"/>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7D5293"/>
    <w:multiLevelType w:val="multilevel"/>
    <w:tmpl w:val="3D36AE78"/>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ED92F26"/>
    <w:multiLevelType w:val="multilevel"/>
    <w:tmpl w:val="E1C85002"/>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65179B"/>
    <w:multiLevelType w:val="multilevel"/>
    <w:tmpl w:val="8E90BCEC"/>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086603C"/>
    <w:multiLevelType w:val="multilevel"/>
    <w:tmpl w:val="4E5A3E5C"/>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144742F"/>
    <w:multiLevelType w:val="multilevel"/>
    <w:tmpl w:val="FC645082"/>
    <w:lvl w:ilvl="0">
      <w:start w:val="1"/>
      <w:numFmt w:val="bullet"/>
      <w:lvlText w:val=""/>
      <w:lvlJc w:val="left"/>
      <w:pPr>
        <w:tabs>
          <w:tab w:val="num" w:pos="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5490916"/>
    <w:multiLevelType w:val="multilevel"/>
    <w:tmpl w:val="6B6681C8"/>
    <w:lvl w:ilvl="0">
      <w:start w:val="1"/>
      <w:numFmt w:val="bullet"/>
      <w:lvlText w:val=""/>
      <w:lvlJc w:val="left"/>
      <w:pPr>
        <w:tabs>
          <w:tab w:val="num" w:pos="708"/>
        </w:tabs>
        <w:ind w:left="144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0D41D8D"/>
    <w:multiLevelType w:val="multilevel"/>
    <w:tmpl w:val="A22AD57C"/>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52B810B0"/>
    <w:multiLevelType w:val="multilevel"/>
    <w:tmpl w:val="A5CE6506"/>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B5F1F93"/>
    <w:multiLevelType w:val="multilevel"/>
    <w:tmpl w:val="DF4C2326"/>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C2C4F30"/>
    <w:multiLevelType w:val="multilevel"/>
    <w:tmpl w:val="6A7A3810"/>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0A955BE"/>
    <w:multiLevelType w:val="multilevel"/>
    <w:tmpl w:val="4558B058"/>
    <w:lvl w:ilvl="0">
      <w:start w:val="1"/>
      <w:numFmt w:val="bullet"/>
      <w:pStyle w:val="a"/>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1E11263"/>
    <w:multiLevelType w:val="multilevel"/>
    <w:tmpl w:val="09AA1008"/>
    <w:lvl w:ilvl="0">
      <w:start w:val="1"/>
      <w:numFmt w:val="bullet"/>
      <w:lvlText w:val=""/>
      <w:lvlJc w:val="left"/>
      <w:pPr>
        <w:tabs>
          <w:tab w:val="num" w:pos="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5ED5419"/>
    <w:multiLevelType w:val="multilevel"/>
    <w:tmpl w:val="F37EBD84"/>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AE74EF1"/>
    <w:multiLevelType w:val="multilevel"/>
    <w:tmpl w:val="93A81918"/>
    <w:lvl w:ilvl="0">
      <w:start w:val="1"/>
      <w:numFmt w:val="bullet"/>
      <w:lvlText w:val=""/>
      <w:lvlJc w:val="left"/>
      <w:pPr>
        <w:tabs>
          <w:tab w:val="num" w:pos="708"/>
        </w:tabs>
        <w:ind w:left="144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AF96546"/>
    <w:multiLevelType w:val="multilevel"/>
    <w:tmpl w:val="0F545746"/>
    <w:lvl w:ilvl="0">
      <w:start w:val="1"/>
      <w:numFmt w:val="bullet"/>
      <w:lvlText w:val=""/>
      <w:lvlJc w:val="left"/>
      <w:pPr>
        <w:tabs>
          <w:tab w:val="num" w:pos="502"/>
        </w:tabs>
        <w:ind w:left="502"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15:restartNumberingAfterBreak="0">
    <w:nsid w:val="7D3F1EDE"/>
    <w:multiLevelType w:val="multilevel"/>
    <w:tmpl w:val="BC56B622"/>
    <w:lvl w:ilvl="0">
      <w:start w:val="1"/>
      <w:numFmt w:val="bullet"/>
      <w:lvlText w:val=""/>
      <w:lvlJc w:val="left"/>
      <w:pPr>
        <w:tabs>
          <w:tab w:val="num" w:pos="0"/>
        </w:tabs>
        <w:ind w:left="400" w:hanging="2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DEF7F19"/>
    <w:multiLevelType w:val="multilevel"/>
    <w:tmpl w:val="62109EF8"/>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0"/>
  </w:num>
  <w:num w:numId="3">
    <w:abstractNumId w:val="12"/>
  </w:num>
  <w:num w:numId="4">
    <w:abstractNumId w:val="11"/>
  </w:num>
  <w:num w:numId="5">
    <w:abstractNumId w:val="2"/>
  </w:num>
  <w:num w:numId="6">
    <w:abstractNumId w:val="9"/>
  </w:num>
  <w:num w:numId="7">
    <w:abstractNumId w:val="18"/>
  </w:num>
  <w:num w:numId="8">
    <w:abstractNumId w:val="1"/>
  </w:num>
  <w:num w:numId="9">
    <w:abstractNumId w:val="6"/>
  </w:num>
  <w:num w:numId="10">
    <w:abstractNumId w:val="15"/>
  </w:num>
  <w:num w:numId="11">
    <w:abstractNumId w:val="17"/>
  </w:num>
  <w:num w:numId="12">
    <w:abstractNumId w:val="14"/>
  </w:num>
  <w:num w:numId="13">
    <w:abstractNumId w:val="0"/>
  </w:num>
  <w:num w:numId="14">
    <w:abstractNumId w:val="5"/>
  </w:num>
  <w:num w:numId="15">
    <w:abstractNumId w:val="13"/>
  </w:num>
  <w:num w:numId="16">
    <w:abstractNumId w:val="4"/>
  </w:num>
  <w:num w:numId="17">
    <w:abstractNumId w:val="7"/>
  </w:num>
  <w:num w:numId="18">
    <w:abstractNumId w:val="3"/>
  </w:num>
  <w:num w:numId="19">
    <w:abstractNumId w:val="16"/>
  </w:num>
  <w:num w:numId="20">
    <w:abstractNumId w:val="11"/>
    <w:lvlOverride w:ilvl="0">
      <w:startOverride w:val="1"/>
    </w:lvlOverride>
  </w:num>
  <w:num w:numId="21">
    <w:abstractNumId w:val="4"/>
    <w:lvlOverride w:ilvl="0">
      <w:startOverride w:val="1"/>
    </w:lvlOverride>
  </w:num>
  <w:num w:numId="22">
    <w:abstractNumId w:val="10"/>
    <w:lvlOverride w:ilvl="0">
      <w:startOverride w:val="1"/>
    </w:lvlOverride>
  </w:num>
  <w:num w:numId="23">
    <w:abstractNumId w:val="17"/>
    <w:lvlOverride w:ilvl="0">
      <w:startOverride w:val="1"/>
    </w:lvlOverride>
  </w:num>
  <w:num w:numId="24">
    <w:abstractNumId w:val="2"/>
    <w:lvlOverride w:ilvl="0">
      <w:startOverride w:val="1"/>
    </w:lvlOverride>
  </w:num>
  <w:num w:numId="2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hideSpellingErrors/>
  <w:proofState w:grammar="clean"/>
  <w:defaultTabStop w:val="708"/>
  <w:autoHyphenation/>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FEF"/>
    <w:rsid w:val="000235D3"/>
    <w:rsid w:val="000605DF"/>
    <w:rsid w:val="00092F93"/>
    <w:rsid w:val="00162322"/>
    <w:rsid w:val="001A0378"/>
    <w:rsid w:val="001B0CBC"/>
    <w:rsid w:val="001E58FC"/>
    <w:rsid w:val="00227FEF"/>
    <w:rsid w:val="00365B2A"/>
    <w:rsid w:val="00494B9D"/>
    <w:rsid w:val="005E48D4"/>
    <w:rsid w:val="00734782"/>
    <w:rsid w:val="0093226E"/>
    <w:rsid w:val="00AC1C09"/>
    <w:rsid w:val="00C13EAC"/>
    <w:rsid w:val="00D73722"/>
    <w:rsid w:val="00D91BFF"/>
    <w:rsid w:val="00E83A90"/>
    <w:rsid w:val="00F1089A"/>
    <w:rsid w:val="00F155F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B8215"/>
  <w15:docId w15:val="{5323849C-F4BD-434F-9781-7029DC2B3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oto Serif CJK SC" w:hAnsi="Liberation Serif" w:cs="FreeSans"/>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Pr>
      <w:rFonts w:ascii="Calibri" w:eastAsia="SimSun;宋体" w:hAnsi="Calibri" w:cs="Times New Roman"/>
      <w:sz w:val="20"/>
      <w:szCs w:val="20"/>
      <w:lang w:bidi="ar-SA"/>
    </w:rPr>
  </w:style>
  <w:style w:type="paragraph" w:styleId="1">
    <w:name w:val="heading 1"/>
    <w:basedOn w:val="a0"/>
    <w:next w:val="a0"/>
    <w:qFormat/>
    <w:pPr>
      <w:keepNext/>
      <w:numPr>
        <w:numId w:val="1"/>
      </w:numPr>
      <w:spacing w:before="240" w:after="60"/>
      <w:outlineLvl w:val="0"/>
    </w:pPr>
    <w:rPr>
      <w:rFonts w:ascii="Cambria" w:eastAsia="Times New Roman" w:hAnsi="Cambria" w:cs="Cambria"/>
      <w:b/>
      <w:bCs/>
      <w:kern w:val="2"/>
      <w:sz w:val="32"/>
      <w:szCs w:val="32"/>
    </w:rPr>
  </w:style>
  <w:style w:type="paragraph" w:styleId="2">
    <w:name w:val="heading 2"/>
    <w:next w:val="a0"/>
    <w:qFormat/>
    <w:pPr>
      <w:numPr>
        <w:ilvl w:val="1"/>
        <w:numId w:val="1"/>
      </w:numPr>
      <w:spacing w:before="280" w:after="180"/>
      <w:outlineLvl w:val="1"/>
    </w:pPr>
    <w:rPr>
      <w:rFonts w:ascii="Arial" w:eastAsia="Arial" w:hAnsi="Arial" w:cs="Arial"/>
      <w:b/>
      <w:bCs/>
      <w:color w:val="2E75B6"/>
      <w:sz w:val="28"/>
      <w:szCs w:val="28"/>
      <w:lang w:val="uk-UA" w:bidi="ar-SA"/>
    </w:rPr>
  </w:style>
  <w:style w:type="paragraph" w:styleId="3">
    <w:name w:val="heading 3"/>
    <w:next w:val="a0"/>
    <w:qFormat/>
    <w:pPr>
      <w:numPr>
        <w:ilvl w:val="2"/>
        <w:numId w:val="1"/>
      </w:numPr>
      <w:spacing w:before="200" w:after="120"/>
      <w:outlineLvl w:val="2"/>
    </w:pPr>
    <w:rPr>
      <w:rFonts w:ascii="Arial" w:eastAsia="Arial" w:hAnsi="Arial" w:cs="Arial"/>
      <w:b/>
      <w:bCs/>
      <w:color w:val="2E75B6"/>
      <w:lang w:val="uk-UA" w:bidi="ar-SA"/>
    </w:rPr>
  </w:style>
  <w:style w:type="paragraph" w:styleId="4">
    <w:name w:val="heading 4"/>
    <w:basedOn w:val="a0"/>
    <w:next w:val="a0"/>
    <w:qFormat/>
    <w:pPr>
      <w:keepNext/>
      <w:numPr>
        <w:ilvl w:val="3"/>
        <w:numId w:val="1"/>
      </w:numPr>
      <w:spacing w:before="240" w:after="60"/>
      <w:outlineLvl w:val="3"/>
    </w:pPr>
    <w:rPr>
      <w:rFonts w:ascii="Calibri Light" w:eastAsia="Times New Roman" w:hAnsi="Calibri Light" w:cs="Calibri Light"/>
      <w:i/>
      <w:iCs/>
      <w:color w:val="2E74B5"/>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2z0">
    <w:name w:val="WW8Num2z0"/>
    <w:qFormat/>
    <w:rPr>
      <w:rFonts w:ascii="Symbol" w:hAnsi="Symbol" w:cs="Symbol"/>
    </w:rPr>
  </w:style>
  <w:style w:type="character" w:customStyle="1" w:styleId="WW8Num5z0">
    <w:name w:val="WW8Num5z0"/>
    <w:qFormat/>
    <w:rPr>
      <w:rFonts w:ascii="Symbol" w:hAnsi="Symbol" w:cs="Symbol"/>
      <w:sz w:val="20"/>
    </w:rPr>
  </w:style>
  <w:style w:type="character" w:customStyle="1" w:styleId="WW8Num5z1">
    <w:name w:val="WW8Num5z1"/>
    <w:qFormat/>
    <w:rPr>
      <w:rFonts w:ascii="Courier New" w:hAnsi="Courier New" w:cs="Courier New"/>
      <w:sz w:val="20"/>
    </w:rPr>
  </w:style>
  <w:style w:type="character" w:customStyle="1" w:styleId="WW8Num5z2">
    <w:name w:val="WW8Num5z2"/>
    <w:qFormat/>
    <w:rPr>
      <w:rFonts w:ascii="Wingdings" w:hAnsi="Wingdings" w:cs="Wingdings"/>
      <w:sz w:val="20"/>
    </w:rPr>
  </w:style>
  <w:style w:type="character" w:customStyle="1" w:styleId="WW8Num6z0">
    <w:name w:val="WW8Num6z0"/>
    <w:qFormat/>
    <w:rPr>
      <w:rFonts w:ascii="Symbol" w:hAnsi="Symbol" w:cs="Symbol"/>
      <w:sz w:val="20"/>
    </w:rPr>
  </w:style>
  <w:style w:type="character" w:customStyle="1" w:styleId="WW8Num6z1">
    <w:name w:val="WW8Num6z1"/>
    <w:qFormat/>
    <w:rPr>
      <w:rFonts w:ascii="Courier New" w:hAnsi="Courier New" w:cs="Courier New"/>
      <w:sz w:val="20"/>
    </w:rPr>
  </w:style>
  <w:style w:type="character" w:customStyle="1" w:styleId="WW8Num6z2">
    <w:name w:val="WW8Num6z2"/>
    <w:qFormat/>
    <w:rPr>
      <w:rFonts w:ascii="Wingdings" w:hAnsi="Wingdings" w:cs="Wingdings"/>
      <w:sz w:val="20"/>
    </w:rPr>
  </w:style>
  <w:style w:type="character" w:customStyle="1" w:styleId="WW8Num7z0">
    <w:name w:val="WW8Num7z0"/>
    <w:qFormat/>
    <w:rPr>
      <w:rFonts w:ascii="Symbol" w:hAnsi="Symbol" w:cs="Symbol"/>
      <w:sz w:val="20"/>
    </w:rPr>
  </w:style>
  <w:style w:type="character" w:customStyle="1" w:styleId="WW8Num7z1">
    <w:name w:val="WW8Num7z1"/>
    <w:qFormat/>
    <w:rPr>
      <w:rFonts w:ascii="Courier New" w:hAnsi="Courier New" w:cs="Courier New"/>
      <w:sz w:val="20"/>
    </w:rPr>
  </w:style>
  <w:style w:type="character" w:customStyle="1" w:styleId="WW8Num7z2">
    <w:name w:val="WW8Num7z2"/>
    <w:qFormat/>
    <w:rPr>
      <w:rFonts w:ascii="Wingdings" w:hAnsi="Wingdings" w:cs="Wingdings"/>
      <w:sz w:val="20"/>
    </w:rPr>
  </w:style>
  <w:style w:type="character" w:customStyle="1" w:styleId="WW8Num8z0">
    <w:name w:val="WW8Num8z0"/>
    <w:qFormat/>
    <w:rPr>
      <w:rFonts w:ascii="Symbol" w:hAnsi="Symbol" w:cs="Symbol"/>
      <w:sz w:val="20"/>
    </w:rPr>
  </w:style>
  <w:style w:type="character" w:customStyle="1" w:styleId="WW8Num8z1">
    <w:name w:val="WW8Num8z1"/>
    <w:qFormat/>
    <w:rPr>
      <w:rFonts w:ascii="Courier New" w:hAnsi="Courier New" w:cs="Courier New"/>
      <w:sz w:val="20"/>
    </w:rPr>
  </w:style>
  <w:style w:type="character" w:customStyle="1" w:styleId="WW8Num8z2">
    <w:name w:val="WW8Num8z2"/>
    <w:qFormat/>
    <w:rPr>
      <w:rFonts w:ascii="Wingdings" w:hAnsi="Wingdings" w:cs="Wingdings"/>
      <w:sz w:val="20"/>
    </w:rPr>
  </w:style>
  <w:style w:type="character" w:customStyle="1" w:styleId="WW8Num9z0">
    <w:name w:val="WW8Num9z0"/>
    <w:qFormat/>
    <w:rPr>
      <w:rFonts w:ascii="Symbol" w:hAnsi="Symbol" w:cs="Symbol"/>
      <w:sz w:val="20"/>
    </w:rPr>
  </w:style>
  <w:style w:type="character" w:customStyle="1" w:styleId="WW8Num9z1">
    <w:name w:val="WW8Num9z1"/>
    <w:qFormat/>
    <w:rPr>
      <w:rFonts w:ascii="Courier New" w:hAnsi="Courier New" w:cs="Courier New"/>
      <w:sz w:val="20"/>
    </w:rPr>
  </w:style>
  <w:style w:type="character" w:customStyle="1" w:styleId="WW8Num9z2">
    <w:name w:val="WW8Num9z2"/>
    <w:qFormat/>
    <w:rPr>
      <w:rFonts w:ascii="Wingdings" w:hAnsi="Wingdings" w:cs="Wingdings"/>
      <w:sz w:val="20"/>
    </w:rPr>
  </w:style>
  <w:style w:type="character" w:customStyle="1" w:styleId="WW8Num10z0">
    <w:name w:val="WW8Num10z0"/>
    <w:qFormat/>
    <w:rPr>
      <w:rFonts w:ascii="Symbol" w:hAnsi="Symbol" w:cs="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1z0">
    <w:name w:val="WW8Num11z0"/>
    <w:qFormat/>
    <w:rPr>
      <w:rFonts w:ascii="Symbol" w:hAnsi="Symbol" w:cs="Symbol"/>
      <w:sz w:val="20"/>
    </w:rPr>
  </w:style>
  <w:style w:type="character" w:customStyle="1" w:styleId="WW8Num11z1">
    <w:name w:val="WW8Num11z1"/>
    <w:qFormat/>
    <w:rPr>
      <w:rFonts w:ascii="Courier New" w:hAnsi="Courier New" w:cs="Courier New"/>
      <w:sz w:val="20"/>
    </w:rPr>
  </w:style>
  <w:style w:type="character" w:customStyle="1" w:styleId="WW8Num11z2">
    <w:name w:val="WW8Num11z2"/>
    <w:qFormat/>
    <w:rPr>
      <w:rFonts w:ascii="Wingdings" w:hAnsi="Wingdings" w:cs="Wingdings"/>
      <w:sz w:val="20"/>
    </w:rPr>
  </w:style>
  <w:style w:type="character" w:customStyle="1" w:styleId="WW8Num12z0">
    <w:name w:val="WW8Num12z0"/>
    <w:qFormat/>
    <w:rPr>
      <w:rFonts w:ascii="Symbol" w:hAnsi="Symbol" w:cs="Symbol"/>
      <w:sz w:val="20"/>
    </w:rPr>
  </w:style>
  <w:style w:type="character" w:customStyle="1" w:styleId="WW8Num12z1">
    <w:name w:val="WW8Num12z1"/>
    <w:qFormat/>
    <w:rPr>
      <w:rFonts w:ascii="Courier New" w:hAnsi="Courier New" w:cs="Courier New"/>
      <w:sz w:val="20"/>
    </w:rPr>
  </w:style>
  <w:style w:type="character" w:customStyle="1" w:styleId="WW8Num12z2">
    <w:name w:val="WW8Num12z2"/>
    <w:qFormat/>
    <w:rPr>
      <w:rFonts w:ascii="Wingdings" w:hAnsi="Wingdings" w:cs="Wingdings"/>
      <w:sz w:val="20"/>
    </w:rPr>
  </w:style>
  <w:style w:type="character" w:customStyle="1" w:styleId="WW8Num13z0">
    <w:name w:val="WW8Num13z0"/>
    <w:qFormat/>
    <w:rPr>
      <w:rFonts w:ascii="Symbol" w:hAnsi="Symbol" w:cs="Symbol"/>
      <w:sz w:val="20"/>
    </w:rPr>
  </w:style>
  <w:style w:type="character" w:customStyle="1" w:styleId="WW8Num13z1">
    <w:name w:val="WW8Num13z1"/>
    <w:qFormat/>
    <w:rPr>
      <w:rFonts w:ascii="Courier New" w:hAnsi="Courier New" w:cs="Courier New"/>
      <w:sz w:val="20"/>
    </w:rPr>
  </w:style>
  <w:style w:type="character" w:customStyle="1" w:styleId="WW8Num13z2">
    <w:name w:val="WW8Num13z2"/>
    <w:qFormat/>
    <w:rPr>
      <w:rFonts w:ascii="Wingdings" w:hAnsi="Wingdings" w:cs="Wingdings"/>
      <w:sz w:val="20"/>
    </w:rPr>
  </w:style>
  <w:style w:type="character" w:customStyle="1" w:styleId="WW8Num14z0">
    <w:name w:val="WW8Num14z0"/>
    <w:qFormat/>
    <w:rPr>
      <w:rFonts w:ascii="Symbol" w:hAnsi="Symbol" w:cs="Symbol"/>
      <w:sz w:val="20"/>
    </w:rPr>
  </w:style>
  <w:style w:type="character" w:customStyle="1" w:styleId="WW8Num14z1">
    <w:name w:val="WW8Num14z1"/>
    <w:qFormat/>
    <w:rPr>
      <w:rFonts w:ascii="Courier New" w:hAnsi="Courier New" w:cs="Courier New"/>
      <w:sz w:val="20"/>
    </w:rPr>
  </w:style>
  <w:style w:type="character" w:customStyle="1" w:styleId="WW8Num14z2">
    <w:name w:val="WW8Num14z2"/>
    <w:qFormat/>
    <w:rPr>
      <w:rFonts w:ascii="Wingdings" w:hAnsi="Wingdings" w:cs="Wingdings"/>
      <w:sz w:val="20"/>
    </w:rPr>
  </w:style>
  <w:style w:type="character" w:customStyle="1" w:styleId="WW8Num15z0">
    <w:name w:val="WW8Num15z0"/>
    <w:qFormat/>
    <w:rPr>
      <w:rFonts w:ascii="Symbol" w:hAnsi="Symbol" w:cs="Symbol"/>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6z0">
    <w:name w:val="WW8Num16z0"/>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7z0">
    <w:name w:val="WW8Num17z0"/>
    <w:qFormat/>
    <w:rPr>
      <w:rFonts w:ascii="Symbol" w:hAnsi="Symbol" w:cs="Symbol"/>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8z0">
    <w:name w:val="WW8Num18z0"/>
    <w:qFormat/>
    <w:rPr>
      <w:rFonts w:ascii="Symbol" w:hAnsi="Symbol" w:cs="Symbol"/>
      <w:sz w:val="20"/>
    </w:rPr>
  </w:style>
  <w:style w:type="character" w:customStyle="1" w:styleId="WW8Num18z1">
    <w:name w:val="WW8Num18z1"/>
    <w:qFormat/>
    <w:rPr>
      <w:rFonts w:ascii="Courier New" w:hAnsi="Courier New" w:cs="Courier New"/>
      <w:sz w:val="20"/>
    </w:rPr>
  </w:style>
  <w:style w:type="character" w:customStyle="1" w:styleId="WW8Num18z2">
    <w:name w:val="WW8Num18z2"/>
    <w:qFormat/>
    <w:rPr>
      <w:rFonts w:ascii="Wingdings" w:hAnsi="Wingdings" w:cs="Wingdings"/>
      <w:sz w:val="20"/>
    </w:rPr>
  </w:style>
  <w:style w:type="character" w:customStyle="1" w:styleId="WW8Num19z0">
    <w:name w:val="WW8Num19z0"/>
    <w:qFormat/>
    <w:rPr>
      <w:rFonts w:ascii="Symbol" w:hAnsi="Symbol" w:cs="Symbol"/>
      <w:sz w:val="20"/>
    </w:rPr>
  </w:style>
  <w:style w:type="character" w:customStyle="1" w:styleId="WW8Num19z1">
    <w:name w:val="WW8Num19z1"/>
    <w:qFormat/>
    <w:rPr>
      <w:rFonts w:ascii="Courier New" w:hAnsi="Courier New" w:cs="Courier New"/>
      <w:sz w:val="20"/>
    </w:rPr>
  </w:style>
  <w:style w:type="character" w:customStyle="1" w:styleId="WW8Num19z2">
    <w:name w:val="WW8Num19z2"/>
    <w:qFormat/>
    <w:rPr>
      <w:rFonts w:ascii="Wingdings" w:hAnsi="Wingdings" w:cs="Wingdings"/>
      <w:sz w:val="20"/>
    </w:rPr>
  </w:style>
  <w:style w:type="character" w:customStyle="1" w:styleId="WW8Num20z0">
    <w:name w:val="WW8Num20z0"/>
    <w:qFormat/>
    <w:rPr>
      <w:rFonts w:ascii="Symbol" w:hAnsi="Symbol" w:cs="Symbol"/>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4z0">
    <w:name w:val="WW8Num24z0"/>
    <w:qFormat/>
    <w:rPr>
      <w:rFonts w:ascii="Symbol" w:hAnsi="Symbol" w:cs="Symbol"/>
      <w:sz w:val="20"/>
    </w:rPr>
  </w:style>
  <w:style w:type="character" w:customStyle="1" w:styleId="WW8Num24z1">
    <w:name w:val="WW8Num24z1"/>
    <w:qFormat/>
    <w:rPr>
      <w:rFonts w:ascii="Courier New" w:hAnsi="Courier New" w:cs="Courier New"/>
      <w:sz w:val="20"/>
    </w:rPr>
  </w:style>
  <w:style w:type="character" w:customStyle="1" w:styleId="WW8Num24z2">
    <w:name w:val="WW8Num24z2"/>
    <w:qFormat/>
    <w:rPr>
      <w:rFonts w:ascii="Wingdings" w:hAnsi="Wingdings" w:cs="Wingdings"/>
      <w:sz w:val="20"/>
    </w:rPr>
  </w:style>
  <w:style w:type="character" w:customStyle="1" w:styleId="WW8Num25z0">
    <w:name w:val="WW8Num25z0"/>
    <w:qFormat/>
    <w:rPr>
      <w:rFonts w:ascii="Symbol" w:hAnsi="Symbol" w:cs="Symbol"/>
      <w:sz w:val="20"/>
    </w:rPr>
  </w:style>
  <w:style w:type="character" w:customStyle="1" w:styleId="WW8Num25z1">
    <w:name w:val="WW8Num25z1"/>
    <w:qFormat/>
    <w:rPr>
      <w:rFonts w:ascii="Courier New" w:hAnsi="Courier New" w:cs="Courier New"/>
      <w:sz w:val="20"/>
    </w:rPr>
  </w:style>
  <w:style w:type="character" w:customStyle="1" w:styleId="WW8Num25z2">
    <w:name w:val="WW8Num25z2"/>
    <w:qFormat/>
    <w:rPr>
      <w:rFonts w:ascii="Wingdings" w:hAnsi="Wingdings" w:cs="Wingdings"/>
      <w:sz w:val="20"/>
    </w:rPr>
  </w:style>
  <w:style w:type="character" w:customStyle="1" w:styleId="WW8Num26z0">
    <w:name w:val="WW8Num26z0"/>
    <w:qFormat/>
    <w:rPr>
      <w:rFonts w:ascii="Symbol" w:hAnsi="Symbol" w:cs="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7z0">
    <w:name w:val="WW8Num27z0"/>
    <w:qFormat/>
    <w:rPr>
      <w:rFonts w:ascii="Symbol" w:hAnsi="Symbol" w:cs="Symbol"/>
      <w:sz w:val="20"/>
    </w:rPr>
  </w:style>
  <w:style w:type="character" w:customStyle="1" w:styleId="WW8Num27z1">
    <w:name w:val="WW8Num27z1"/>
    <w:qFormat/>
    <w:rPr>
      <w:rFonts w:ascii="Courier New" w:hAnsi="Courier New" w:cs="Courier New"/>
      <w:sz w:val="20"/>
    </w:rPr>
  </w:style>
  <w:style w:type="character" w:customStyle="1" w:styleId="WW8Num27z2">
    <w:name w:val="WW8Num27z2"/>
    <w:qFormat/>
    <w:rPr>
      <w:rFonts w:ascii="Wingdings" w:hAnsi="Wingdings" w:cs="Wingdings"/>
      <w:sz w:val="20"/>
    </w:rPr>
  </w:style>
  <w:style w:type="character" w:customStyle="1" w:styleId="WW8Num28z0">
    <w:name w:val="WW8Num28z0"/>
    <w:qFormat/>
    <w:rPr>
      <w:rFonts w:ascii="Symbol" w:hAnsi="Symbol" w:cs="Symbol"/>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9z0">
    <w:name w:val="WW8Num29z0"/>
    <w:qFormat/>
    <w:rPr>
      <w:rFonts w:ascii="Symbol" w:hAnsi="Symbol" w:cs="Symbol"/>
      <w:sz w:val="20"/>
    </w:rPr>
  </w:style>
  <w:style w:type="character" w:customStyle="1" w:styleId="WW8Num29z1">
    <w:name w:val="WW8Num29z1"/>
    <w:qFormat/>
    <w:rPr>
      <w:rFonts w:ascii="Courier New" w:hAnsi="Courier New" w:cs="Courier New"/>
      <w:sz w:val="20"/>
    </w:rPr>
  </w:style>
  <w:style w:type="character" w:customStyle="1" w:styleId="WW8Num29z2">
    <w:name w:val="WW8Num29z2"/>
    <w:qFormat/>
    <w:rPr>
      <w:rFonts w:ascii="Wingdings" w:hAnsi="Wingdings" w:cs="Wingdings"/>
      <w:sz w:val="20"/>
    </w:rPr>
  </w:style>
  <w:style w:type="character" w:customStyle="1" w:styleId="WW8Num30z0">
    <w:name w:val="WW8Num30z0"/>
    <w:qFormat/>
    <w:rPr>
      <w:rFonts w:ascii="Symbol" w:hAnsi="Symbol" w:cs="Symbol"/>
      <w:sz w:val="20"/>
    </w:rPr>
  </w:style>
  <w:style w:type="character" w:customStyle="1" w:styleId="WW8Num30z1">
    <w:name w:val="WW8Num30z1"/>
    <w:qFormat/>
    <w:rPr>
      <w:rFonts w:ascii="Courier New" w:hAnsi="Courier New" w:cs="Courier New"/>
      <w:sz w:val="20"/>
    </w:rPr>
  </w:style>
  <w:style w:type="character" w:customStyle="1" w:styleId="WW8Num30z2">
    <w:name w:val="WW8Num30z2"/>
    <w:qFormat/>
    <w:rPr>
      <w:rFonts w:ascii="Wingdings" w:hAnsi="Wingdings" w:cs="Wingdings"/>
      <w:sz w:val="20"/>
    </w:rPr>
  </w:style>
  <w:style w:type="character" w:customStyle="1" w:styleId="WW8Num31z0">
    <w:name w:val="WW8Num31z0"/>
    <w:qFormat/>
    <w:rPr>
      <w:rFonts w:ascii="Symbol" w:hAnsi="Symbol" w:cs="Symbol"/>
      <w:sz w:val="20"/>
    </w:rPr>
  </w:style>
  <w:style w:type="character" w:customStyle="1" w:styleId="WW8Num31z1">
    <w:name w:val="WW8Num31z1"/>
    <w:qFormat/>
    <w:rPr>
      <w:rFonts w:ascii="Courier New" w:hAnsi="Courier New" w:cs="Courier New"/>
      <w:sz w:val="20"/>
    </w:rPr>
  </w:style>
  <w:style w:type="character" w:customStyle="1" w:styleId="WW8Num31z2">
    <w:name w:val="WW8Num31z2"/>
    <w:qFormat/>
    <w:rPr>
      <w:rFonts w:ascii="Wingdings" w:hAnsi="Wingdings" w:cs="Wingdings"/>
      <w:sz w:val="20"/>
    </w:rPr>
  </w:style>
  <w:style w:type="character" w:customStyle="1" w:styleId="WW8Num33z0">
    <w:name w:val="WW8Num33z0"/>
    <w:qFormat/>
    <w:rPr>
      <w:rFonts w:ascii="Symbol" w:hAnsi="Symbol" w:cs="Symbol"/>
      <w:sz w:val="20"/>
    </w:rPr>
  </w:style>
  <w:style w:type="character" w:customStyle="1" w:styleId="WW8Num33z1">
    <w:name w:val="WW8Num33z1"/>
    <w:qFormat/>
    <w:rPr>
      <w:rFonts w:ascii="Courier New" w:hAnsi="Courier New" w:cs="Courier New"/>
      <w:sz w:val="20"/>
    </w:rPr>
  </w:style>
  <w:style w:type="character" w:customStyle="1" w:styleId="WW8Num33z2">
    <w:name w:val="WW8Num33z2"/>
    <w:qFormat/>
    <w:rPr>
      <w:rFonts w:ascii="Wingdings" w:hAnsi="Wingdings" w:cs="Wingdings"/>
      <w:sz w:val="20"/>
    </w:rPr>
  </w:style>
  <w:style w:type="character" w:customStyle="1" w:styleId="WW8Num34z0">
    <w:name w:val="WW8Num34z0"/>
    <w:qFormat/>
    <w:rPr>
      <w:rFonts w:ascii="Symbol" w:hAnsi="Symbol" w:cs="Symbol"/>
      <w:sz w:val="20"/>
    </w:rPr>
  </w:style>
  <w:style w:type="character" w:customStyle="1" w:styleId="WW8Num34z1">
    <w:name w:val="WW8Num34z1"/>
    <w:qFormat/>
    <w:rPr>
      <w:rFonts w:ascii="Courier New" w:hAnsi="Courier New" w:cs="Courier New"/>
      <w:sz w:val="20"/>
    </w:rPr>
  </w:style>
  <w:style w:type="character" w:customStyle="1" w:styleId="WW8Num34z2">
    <w:name w:val="WW8Num34z2"/>
    <w:qFormat/>
    <w:rPr>
      <w:rFonts w:ascii="Wingdings" w:hAnsi="Wingdings" w:cs="Wingdings"/>
      <w:sz w:val="20"/>
    </w:rPr>
  </w:style>
  <w:style w:type="character" w:customStyle="1" w:styleId="WW8Num37z0">
    <w:name w:val="WW8Num37z0"/>
    <w:qFormat/>
    <w:rPr>
      <w:rFonts w:ascii="Symbol" w:hAnsi="Symbol" w:cs="Symbol"/>
      <w:sz w:val="20"/>
    </w:rPr>
  </w:style>
  <w:style w:type="character" w:customStyle="1" w:styleId="WW8Num37z1">
    <w:name w:val="WW8Num37z1"/>
    <w:qFormat/>
    <w:rPr>
      <w:rFonts w:ascii="Courier New" w:hAnsi="Courier New" w:cs="Courier New"/>
      <w:sz w:val="20"/>
    </w:rPr>
  </w:style>
  <w:style w:type="character" w:customStyle="1" w:styleId="WW8Num37z2">
    <w:name w:val="WW8Num37z2"/>
    <w:qFormat/>
    <w:rPr>
      <w:rFonts w:ascii="Wingdings" w:hAnsi="Wingdings" w:cs="Wingdings"/>
      <w:sz w:val="20"/>
    </w:rPr>
  </w:style>
  <w:style w:type="character" w:customStyle="1" w:styleId="WW8Num38z0">
    <w:name w:val="WW8Num38z0"/>
    <w:qFormat/>
    <w:rPr>
      <w:rFonts w:ascii="Symbol" w:hAnsi="Symbol" w:cs="Symbol"/>
      <w:sz w:val="20"/>
    </w:rPr>
  </w:style>
  <w:style w:type="character" w:customStyle="1" w:styleId="WW8Num38z1">
    <w:name w:val="WW8Num38z1"/>
    <w:qFormat/>
    <w:rPr>
      <w:rFonts w:ascii="Courier New" w:hAnsi="Courier New" w:cs="Courier New"/>
      <w:sz w:val="20"/>
    </w:rPr>
  </w:style>
  <w:style w:type="character" w:customStyle="1" w:styleId="WW8Num38z2">
    <w:name w:val="WW8Num38z2"/>
    <w:qFormat/>
    <w:rPr>
      <w:rFonts w:ascii="Wingdings" w:hAnsi="Wingdings" w:cs="Wingdings"/>
      <w:sz w:val="20"/>
    </w:rPr>
  </w:style>
  <w:style w:type="character" w:customStyle="1" w:styleId="WW8Num39z0">
    <w:name w:val="WW8Num39z0"/>
    <w:qFormat/>
    <w:rPr>
      <w:rFonts w:ascii="Symbol" w:hAnsi="Symbol" w:cs="Symbol"/>
      <w:sz w:val="20"/>
    </w:rPr>
  </w:style>
  <w:style w:type="character" w:customStyle="1" w:styleId="WW8Num39z1">
    <w:name w:val="WW8Num39z1"/>
    <w:qFormat/>
    <w:rPr>
      <w:rFonts w:ascii="Courier New" w:hAnsi="Courier New" w:cs="Courier New"/>
      <w:sz w:val="20"/>
    </w:rPr>
  </w:style>
  <w:style w:type="character" w:customStyle="1" w:styleId="WW8Num39z2">
    <w:name w:val="WW8Num39z2"/>
    <w:qFormat/>
    <w:rPr>
      <w:rFonts w:ascii="Wingdings" w:hAnsi="Wingdings" w:cs="Wingdings"/>
      <w:sz w:val="20"/>
    </w:rPr>
  </w:style>
  <w:style w:type="character" w:customStyle="1" w:styleId="WW8Num40z0">
    <w:name w:val="WW8Num40z0"/>
    <w:qFormat/>
    <w:rPr>
      <w:rFonts w:ascii="Symbol" w:hAnsi="Symbol" w:cs="Symbol"/>
    </w:rPr>
  </w:style>
  <w:style w:type="character" w:customStyle="1" w:styleId="WW8Num40z1">
    <w:name w:val="WW8Num40z1"/>
    <w:qFormat/>
    <w:rPr>
      <w:rFonts w:ascii="Courier New" w:hAnsi="Courier New" w:cs="Courier New"/>
    </w:rPr>
  </w:style>
  <w:style w:type="character" w:customStyle="1" w:styleId="WW8Num40z2">
    <w:name w:val="WW8Num40z2"/>
    <w:qFormat/>
    <w:rPr>
      <w:rFonts w:ascii="Wingdings" w:hAnsi="Wingdings" w:cs="Wingdings"/>
    </w:rPr>
  </w:style>
  <w:style w:type="character" w:customStyle="1" w:styleId="WW8Num41z0">
    <w:name w:val="WW8Num41z0"/>
    <w:qFormat/>
    <w:rPr>
      <w:rFonts w:ascii="Symbol" w:hAnsi="Symbol" w:cs="Symbol"/>
    </w:rPr>
  </w:style>
  <w:style w:type="character" w:customStyle="1" w:styleId="WW8Num41z1">
    <w:name w:val="WW8Num41z1"/>
    <w:qFormat/>
    <w:rPr>
      <w:rFonts w:ascii="Courier New" w:hAnsi="Courier New" w:cs="Courier New"/>
    </w:rPr>
  </w:style>
  <w:style w:type="character" w:customStyle="1" w:styleId="WW8Num41z2">
    <w:name w:val="WW8Num41z2"/>
    <w:qFormat/>
    <w:rPr>
      <w:rFonts w:ascii="Wingdings" w:hAnsi="Wingdings" w:cs="Wingdings"/>
    </w:rPr>
  </w:style>
  <w:style w:type="character" w:customStyle="1" w:styleId="WW8Num43z0">
    <w:name w:val="WW8Num43z0"/>
    <w:qFormat/>
    <w:rPr>
      <w:rFonts w:ascii="Symbol" w:hAnsi="Symbol" w:cs="Symbol"/>
    </w:rPr>
  </w:style>
  <w:style w:type="character" w:customStyle="1" w:styleId="WW8Num43z1">
    <w:name w:val="WW8Num43z1"/>
    <w:qFormat/>
    <w:rPr>
      <w:rFonts w:ascii="Courier New" w:hAnsi="Courier New" w:cs="Courier New"/>
    </w:rPr>
  </w:style>
  <w:style w:type="character" w:customStyle="1" w:styleId="WW8Num43z2">
    <w:name w:val="WW8Num43z2"/>
    <w:qFormat/>
    <w:rPr>
      <w:rFonts w:ascii="Wingdings" w:hAnsi="Wingdings" w:cs="Wingdings"/>
    </w:rPr>
  </w:style>
  <w:style w:type="character" w:customStyle="1" w:styleId="WW8Num44z0">
    <w:name w:val="WW8Num44z0"/>
    <w:qFormat/>
    <w:rPr>
      <w:rFonts w:ascii="Symbol" w:hAnsi="Symbol" w:cs="Symbol"/>
      <w:sz w:val="20"/>
    </w:rPr>
  </w:style>
  <w:style w:type="character" w:customStyle="1" w:styleId="WW8Num44z1">
    <w:name w:val="WW8Num44z1"/>
    <w:qFormat/>
    <w:rPr>
      <w:rFonts w:ascii="Courier New" w:hAnsi="Courier New" w:cs="Courier New"/>
      <w:sz w:val="20"/>
    </w:rPr>
  </w:style>
  <w:style w:type="character" w:customStyle="1" w:styleId="WW8Num44z2">
    <w:name w:val="WW8Num44z2"/>
    <w:qFormat/>
    <w:rPr>
      <w:rFonts w:ascii="Wingdings" w:hAnsi="Wingdings" w:cs="Wingdings"/>
      <w:sz w:val="20"/>
    </w:rPr>
  </w:style>
  <w:style w:type="character" w:customStyle="1" w:styleId="WW8Num45z0">
    <w:name w:val="WW8Num45z0"/>
    <w:qFormat/>
    <w:rPr>
      <w:rFonts w:ascii="Symbol" w:hAnsi="Symbol" w:cs="Symbol"/>
      <w:sz w:val="20"/>
    </w:rPr>
  </w:style>
  <w:style w:type="character" w:customStyle="1" w:styleId="WW8Num45z1">
    <w:name w:val="WW8Num45z1"/>
    <w:qFormat/>
    <w:rPr>
      <w:rFonts w:ascii="Courier New" w:hAnsi="Courier New" w:cs="Courier New"/>
      <w:sz w:val="20"/>
    </w:rPr>
  </w:style>
  <w:style w:type="character" w:customStyle="1" w:styleId="WW8Num45z2">
    <w:name w:val="WW8Num45z2"/>
    <w:qFormat/>
    <w:rPr>
      <w:rFonts w:ascii="Wingdings" w:hAnsi="Wingdings" w:cs="Wingdings"/>
      <w:sz w:val="20"/>
    </w:rPr>
  </w:style>
  <w:style w:type="character" w:customStyle="1" w:styleId="WW8Num46z0">
    <w:name w:val="WW8Num46z0"/>
    <w:qFormat/>
    <w:rPr>
      <w:rFonts w:ascii="Symbol" w:hAnsi="Symbol" w:cs="Symbol"/>
      <w:sz w:val="20"/>
    </w:rPr>
  </w:style>
  <w:style w:type="character" w:customStyle="1" w:styleId="WW8Num46z1">
    <w:name w:val="WW8Num46z1"/>
    <w:qFormat/>
    <w:rPr>
      <w:rFonts w:ascii="Courier New" w:hAnsi="Courier New" w:cs="Courier New"/>
      <w:sz w:val="20"/>
    </w:rPr>
  </w:style>
  <w:style w:type="character" w:customStyle="1" w:styleId="WW8Num46z2">
    <w:name w:val="WW8Num46z2"/>
    <w:qFormat/>
    <w:rPr>
      <w:rFonts w:ascii="Wingdings" w:hAnsi="Wingdings" w:cs="Wingdings"/>
      <w:sz w:val="20"/>
    </w:rPr>
  </w:style>
  <w:style w:type="character" w:customStyle="1" w:styleId="WW8Num47z0">
    <w:name w:val="WW8Num47z0"/>
    <w:qFormat/>
    <w:rPr>
      <w:rFonts w:ascii="Symbol" w:hAnsi="Symbol" w:cs="Symbol"/>
      <w:sz w:val="20"/>
    </w:rPr>
  </w:style>
  <w:style w:type="character" w:customStyle="1" w:styleId="WW8Num47z1">
    <w:name w:val="WW8Num47z1"/>
    <w:qFormat/>
    <w:rPr>
      <w:rFonts w:ascii="Courier New" w:hAnsi="Courier New" w:cs="Courier New"/>
      <w:sz w:val="20"/>
    </w:rPr>
  </w:style>
  <w:style w:type="character" w:customStyle="1" w:styleId="WW8Num47z2">
    <w:name w:val="WW8Num47z2"/>
    <w:qFormat/>
    <w:rPr>
      <w:rFonts w:ascii="Wingdings" w:hAnsi="Wingdings" w:cs="Wingdings"/>
      <w:sz w:val="20"/>
    </w:rPr>
  </w:style>
  <w:style w:type="character" w:customStyle="1" w:styleId="WW8Num49z0">
    <w:name w:val="WW8Num49z0"/>
    <w:qFormat/>
    <w:rPr>
      <w:rFonts w:ascii="Symbol" w:hAnsi="Symbol" w:cs="Symbol"/>
      <w:sz w:val="20"/>
    </w:rPr>
  </w:style>
  <w:style w:type="character" w:customStyle="1" w:styleId="WW8Num49z1">
    <w:name w:val="WW8Num49z1"/>
    <w:qFormat/>
    <w:rPr>
      <w:rFonts w:ascii="Courier New" w:hAnsi="Courier New" w:cs="Courier New"/>
      <w:sz w:val="20"/>
    </w:rPr>
  </w:style>
  <w:style w:type="character" w:customStyle="1" w:styleId="WW8Num49z2">
    <w:name w:val="WW8Num49z2"/>
    <w:qFormat/>
    <w:rPr>
      <w:rFonts w:ascii="Wingdings" w:hAnsi="Wingdings" w:cs="Wingdings"/>
      <w:sz w:val="20"/>
    </w:rPr>
  </w:style>
  <w:style w:type="character" w:customStyle="1" w:styleId="WW8Num50z0">
    <w:name w:val="WW8Num50z0"/>
    <w:qFormat/>
    <w:rPr>
      <w:rFonts w:ascii="Symbol" w:hAnsi="Symbol" w:cs="Symbol"/>
      <w:sz w:val="20"/>
    </w:rPr>
  </w:style>
  <w:style w:type="character" w:customStyle="1" w:styleId="WW8Num50z1">
    <w:name w:val="WW8Num50z1"/>
    <w:qFormat/>
    <w:rPr>
      <w:rFonts w:ascii="Courier New" w:hAnsi="Courier New" w:cs="Courier New"/>
      <w:sz w:val="20"/>
    </w:rPr>
  </w:style>
  <w:style w:type="character" w:customStyle="1" w:styleId="WW8Num50z2">
    <w:name w:val="WW8Num50z2"/>
    <w:qFormat/>
    <w:rPr>
      <w:rFonts w:ascii="Wingdings" w:hAnsi="Wingdings" w:cs="Wingdings"/>
      <w:sz w:val="20"/>
    </w:rPr>
  </w:style>
  <w:style w:type="character" w:customStyle="1" w:styleId="10">
    <w:name w:val="Заголовок 1 Знак"/>
    <w:qFormat/>
    <w:rPr>
      <w:rFonts w:ascii="Cambria" w:eastAsia="Times New Roman" w:hAnsi="Cambria" w:cs="Times New Roman"/>
      <w:b/>
      <w:bCs/>
      <w:kern w:val="2"/>
      <w:sz w:val="32"/>
      <w:szCs w:val="32"/>
      <w:lang w:val="en-US" w:eastAsia="zh-CN"/>
    </w:rPr>
  </w:style>
  <w:style w:type="character" w:customStyle="1" w:styleId="a4">
    <w:name w:val="Текст сноски Знак"/>
    <w:qFormat/>
    <w:rPr>
      <w:rFonts w:ascii="Arial" w:eastAsia="Arial" w:hAnsi="Arial" w:cs="Arial"/>
      <w:lang w:val="ru-RU"/>
    </w:rPr>
  </w:style>
  <w:style w:type="character" w:customStyle="1" w:styleId="FootnoteCharacters">
    <w:name w:val="Footnote Characters"/>
    <w:qFormat/>
    <w:rPr>
      <w:vertAlign w:val="superscript"/>
    </w:rPr>
  </w:style>
  <w:style w:type="character" w:styleId="a5">
    <w:name w:val="Strong"/>
    <w:qFormat/>
    <w:rPr>
      <w:b/>
      <w:bCs/>
    </w:rPr>
  </w:style>
  <w:style w:type="character" w:customStyle="1" w:styleId="20">
    <w:name w:val="Заголовок 2 Знак"/>
    <w:qFormat/>
    <w:rPr>
      <w:rFonts w:ascii="Arial" w:eastAsia="Arial" w:hAnsi="Arial" w:cs="Arial"/>
      <w:b/>
      <w:bCs/>
      <w:color w:val="2E75B6"/>
      <w:sz w:val="28"/>
      <w:szCs w:val="28"/>
      <w:lang w:bidi="ar-SA"/>
    </w:rPr>
  </w:style>
  <w:style w:type="character" w:customStyle="1" w:styleId="30">
    <w:name w:val="Заголовок 3 Знак"/>
    <w:qFormat/>
    <w:rPr>
      <w:rFonts w:ascii="Arial" w:eastAsia="Arial" w:hAnsi="Arial" w:cs="Arial"/>
      <w:b/>
      <w:bCs/>
      <w:color w:val="2E75B6"/>
      <w:sz w:val="24"/>
      <w:szCs w:val="24"/>
      <w:lang w:bidi="ar-SA"/>
    </w:rPr>
  </w:style>
  <w:style w:type="character" w:customStyle="1" w:styleId="40">
    <w:name w:val="Заголовок 4 Знак"/>
    <w:qFormat/>
    <w:rPr>
      <w:rFonts w:ascii="Calibri Light" w:eastAsia="Times New Roman" w:hAnsi="Calibri Light" w:cs="Times New Roman"/>
      <w:i/>
      <w:iCs/>
      <w:color w:val="2E74B5"/>
    </w:rPr>
  </w:style>
  <w:style w:type="character" w:customStyle="1" w:styleId="41">
    <w:name w:val="Заголовок 4 Знак1"/>
    <w:qFormat/>
    <w:rPr>
      <w:rFonts w:ascii="Calibri" w:eastAsia="Times New Roman" w:hAnsi="Calibri" w:cs="Times New Roman"/>
      <w:b/>
      <w:bCs/>
      <w:sz w:val="28"/>
      <w:szCs w:val="28"/>
      <w:lang w:val="en-US" w:eastAsia="zh-CN"/>
    </w:rPr>
  </w:style>
  <w:style w:type="character" w:customStyle="1" w:styleId="vkekvd">
    <w:name w:val="vkekvd"/>
    <w:qFormat/>
  </w:style>
  <w:style w:type="character" w:styleId="a6">
    <w:name w:val="footnote reference"/>
    <w:rPr>
      <w:vertAlign w:val="superscript"/>
    </w:rPr>
  </w:style>
  <w:style w:type="character" w:styleId="a7">
    <w:name w:val="endnote reference"/>
    <w:rPr>
      <w:vertAlign w:val="superscript"/>
    </w:rPr>
  </w:style>
  <w:style w:type="character" w:customStyle="1" w:styleId="EndnoteCharacters">
    <w:name w:val="Endnote Characters"/>
    <w:qFormat/>
  </w:style>
  <w:style w:type="paragraph" w:customStyle="1" w:styleId="Heading">
    <w:name w:val="Heading"/>
    <w:basedOn w:val="a0"/>
    <w:next w:val="a8"/>
    <w:qFormat/>
    <w:pPr>
      <w:keepNext/>
      <w:spacing w:before="240" w:after="120"/>
    </w:pPr>
    <w:rPr>
      <w:rFonts w:ascii="Liberation Sans" w:eastAsia="Noto Sans CJK SC" w:hAnsi="Liberation Sans" w:cs="FreeSans"/>
      <w:sz w:val="28"/>
      <w:szCs w:val="28"/>
    </w:rPr>
  </w:style>
  <w:style w:type="paragraph" w:styleId="a8">
    <w:name w:val="Body Text"/>
    <w:basedOn w:val="a0"/>
    <w:pPr>
      <w:spacing w:after="140" w:line="276" w:lineRule="auto"/>
    </w:pPr>
  </w:style>
  <w:style w:type="paragraph" w:styleId="a9">
    <w:name w:val="List"/>
    <w:basedOn w:val="a8"/>
    <w:rPr>
      <w:rFonts w:cs="FreeSans"/>
    </w:rPr>
  </w:style>
  <w:style w:type="paragraph" w:styleId="aa">
    <w:name w:val="caption"/>
    <w:basedOn w:val="a0"/>
    <w:qFormat/>
    <w:pPr>
      <w:suppressLineNumbers/>
      <w:spacing w:before="120" w:after="120"/>
    </w:pPr>
    <w:rPr>
      <w:rFonts w:cs="FreeSans"/>
      <w:i/>
      <w:iCs/>
      <w:sz w:val="24"/>
      <w:szCs w:val="24"/>
    </w:rPr>
  </w:style>
  <w:style w:type="paragraph" w:customStyle="1" w:styleId="Index">
    <w:name w:val="Index"/>
    <w:basedOn w:val="a0"/>
    <w:qFormat/>
    <w:pPr>
      <w:suppressLineNumbers/>
    </w:pPr>
    <w:rPr>
      <w:rFonts w:cs="FreeSans"/>
    </w:rPr>
  </w:style>
  <w:style w:type="paragraph" w:styleId="ab">
    <w:name w:val="List Paragraph"/>
    <w:qFormat/>
    <w:rPr>
      <w:rFonts w:ascii="Arial" w:eastAsia="Arial" w:hAnsi="Arial" w:cs="Arial"/>
      <w:lang w:val="uk-UA" w:bidi="ar-SA"/>
    </w:rPr>
  </w:style>
  <w:style w:type="paragraph" w:styleId="ac">
    <w:name w:val="footnote text"/>
    <w:basedOn w:val="a0"/>
    <w:rPr>
      <w:rFonts w:ascii="Arial" w:eastAsia="Arial" w:hAnsi="Arial" w:cs="Arial"/>
      <w:lang w:val="ru-RU"/>
    </w:rPr>
  </w:style>
  <w:style w:type="paragraph" w:customStyle="1" w:styleId="410">
    <w:name w:val="Заголовок 41"/>
    <w:basedOn w:val="a0"/>
    <w:next w:val="a0"/>
    <w:qFormat/>
    <w:pPr>
      <w:keepNext/>
      <w:keepLines/>
      <w:spacing w:before="40" w:line="256" w:lineRule="auto"/>
      <w:outlineLvl w:val="3"/>
    </w:pPr>
    <w:rPr>
      <w:rFonts w:ascii="Calibri Light" w:eastAsia="Times New Roman" w:hAnsi="Calibri Light"/>
      <w:i/>
      <w:iCs/>
      <w:color w:val="2E74B5"/>
      <w:sz w:val="22"/>
      <w:szCs w:val="22"/>
      <w:lang w:val="ru-RU"/>
    </w:rPr>
  </w:style>
  <w:style w:type="paragraph" w:styleId="ad">
    <w:name w:val="Normal (Web)"/>
    <w:basedOn w:val="a0"/>
    <w:qFormat/>
    <w:pPr>
      <w:spacing w:before="280" w:after="280"/>
    </w:pPr>
    <w:rPr>
      <w:rFonts w:ascii="Times New Roman" w:eastAsia="Times New Roman" w:hAnsi="Times New Roman"/>
      <w:sz w:val="24"/>
      <w:szCs w:val="24"/>
      <w:lang w:val="ru-RU"/>
    </w:rPr>
  </w:style>
  <w:style w:type="paragraph" w:styleId="a">
    <w:name w:val="List Bullet"/>
    <w:basedOn w:val="a0"/>
    <w:qFormat/>
    <w:pPr>
      <w:numPr>
        <w:numId w:val="3"/>
      </w:numPr>
      <w:spacing w:after="200" w:line="276" w:lineRule="auto"/>
      <w:ind w:left="720" w:firstLine="0"/>
      <w:contextualSpacing/>
    </w:pPr>
    <w:rPr>
      <w:rFonts w:eastAsia="Times New Roman"/>
      <w:sz w:val="22"/>
      <w:szCs w:val="22"/>
    </w:rPr>
  </w:style>
  <w:style w:type="paragraph" w:customStyle="1" w:styleId="ae">
    <w:name w:val="Звичайний (веб)"/>
    <w:basedOn w:val="a0"/>
    <w:qFormat/>
    <w:pPr>
      <w:spacing w:before="280" w:after="280"/>
    </w:pPr>
    <w:rPr>
      <w:rFonts w:ascii="Times New Roman" w:eastAsia="Calibri" w:hAnsi="Times New Roman"/>
      <w:sz w:val="24"/>
      <w:szCs w:val="24"/>
      <w:lang w:val="ru-RU"/>
    </w:rPr>
  </w:style>
  <w:style w:type="paragraph" w:customStyle="1" w:styleId="Default">
    <w:name w:val="Default"/>
    <w:qFormat/>
    <w:pPr>
      <w:autoSpaceDE w:val="0"/>
    </w:pPr>
    <w:rPr>
      <w:rFonts w:ascii="Times New Roman" w:eastAsia="Calibri" w:hAnsi="Times New Roman" w:cs="Times New Roman"/>
      <w:color w:val="000000"/>
      <w:lang w:val="ru-RU" w:bidi="ar-SA"/>
    </w:rPr>
  </w:style>
  <w:style w:type="paragraph" w:customStyle="1" w:styleId="TableContents">
    <w:name w:val="Table Contents"/>
    <w:basedOn w:val="a0"/>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numbering" w:customStyle="1" w:styleId="WW8Num46">
    <w:name w:val="WW8Num46"/>
    <w:qFormat/>
  </w:style>
  <w:style w:type="numbering" w:customStyle="1" w:styleId="WW8Num47">
    <w:name w:val="WW8Num47"/>
    <w:qFormat/>
  </w:style>
  <w:style w:type="numbering" w:customStyle="1" w:styleId="WW8Num48">
    <w:name w:val="WW8Num48"/>
    <w:qFormat/>
  </w:style>
  <w:style w:type="numbering" w:customStyle="1" w:styleId="WW8Num49">
    <w:name w:val="WW8Num49"/>
    <w:qFormat/>
  </w:style>
  <w:style w:type="numbering" w:customStyle="1" w:styleId="WW8Num50">
    <w:name w:val="WW8Num50"/>
    <w:qFormat/>
  </w:style>
  <w:style w:type="paragraph" w:styleId="af">
    <w:name w:val="Balloon Text"/>
    <w:basedOn w:val="a0"/>
    <w:link w:val="af0"/>
    <w:uiPriority w:val="99"/>
    <w:semiHidden/>
    <w:unhideWhenUsed/>
    <w:rsid w:val="001B0CBC"/>
    <w:rPr>
      <w:rFonts w:ascii="Segoe UI" w:hAnsi="Segoe UI" w:cs="Segoe UI"/>
      <w:sz w:val="18"/>
      <w:szCs w:val="18"/>
    </w:rPr>
  </w:style>
  <w:style w:type="character" w:customStyle="1" w:styleId="af0">
    <w:name w:val="Текст выноски Знак"/>
    <w:basedOn w:val="a1"/>
    <w:link w:val="af"/>
    <w:uiPriority w:val="99"/>
    <w:semiHidden/>
    <w:rsid w:val="001B0CBC"/>
    <w:rPr>
      <w:rFonts w:ascii="Segoe UI" w:eastAsia="SimSun;宋体" w:hAnsi="Segoe UI" w:cs="Segoe UI"/>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1</Pages>
  <Words>116539</Words>
  <Characters>66428</Characters>
  <Application>Microsoft Office Word</Application>
  <DocSecurity>0</DocSecurity>
  <Lines>553</Lines>
  <Paragraphs>365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2026-06-17T07:04:00Z</cp:lastPrinted>
  <dcterms:created xsi:type="dcterms:W3CDTF">2026-06-15T11:25:00Z</dcterms:created>
  <dcterms:modified xsi:type="dcterms:W3CDTF">2026-06-17T11:55:00Z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2026-06-11T12:18:00Z</dcterms:created>
  <dc:creator>User</dc:creator>
  <dc:description/>
  <cp:keywords/>
  <dc:language>en-US</dc:language>
  <cp:lastModifiedBy>User</cp:lastModifiedBy>
  <dcterms:modified xsi:type="dcterms:W3CDTF">2026-06-11T12:18:00Z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D6ACBEDD34A940DC8636D2D38EA5D12F_12</vt:lpwstr>
  </property>
  <property fmtid="{D5CDD505-2E9C-101B-9397-08002B2CF9AE}" pid="3" name="KSOProductBuildVer">
    <vt:lpwstr>1049-12.2.0.23196</vt:lpwstr>
  </property>
</Properties>
</file>