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76" w:lineRule="auto"/>
        <w:jc w:val="center"/>
        <w:rPr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Виконання бюджету за доходами за січень-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серп</w:t>
      </w: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ень 2022 року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ind w:left="40" w:right="40" w:firstLine="669"/>
        <w:jc w:val="both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За підсумками січня-сер</w:t>
      </w:r>
      <w:r w:rsidDel="00000000" w:rsidR="00000000" w:rsidRPr="00000000">
        <w:rPr>
          <w:sz w:val="28"/>
          <w:szCs w:val="28"/>
          <w:rtl w:val="0"/>
        </w:rPr>
        <w:t xml:space="preserve">п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ня 2022 року в дохід бюджету сільської територіальної громади по загальному фонду надійшло 94 323,5 тис. грн. податків, зборів, інших обов'язкових платежів, трансфертів з Державного бюджету, що складає </w:t>
      </w:r>
      <w:r w:rsidDel="00000000" w:rsidR="00000000" w:rsidRPr="00000000">
        <w:rPr>
          <w:sz w:val="28"/>
          <w:szCs w:val="28"/>
          <w:rtl w:val="0"/>
        </w:rPr>
        <w:t xml:space="preserve">99,67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% плану на січень-</w:t>
      </w:r>
      <w:r w:rsidDel="00000000" w:rsidR="00000000" w:rsidRPr="00000000">
        <w:rPr>
          <w:sz w:val="28"/>
          <w:szCs w:val="28"/>
          <w:rtl w:val="0"/>
        </w:rPr>
        <w:t xml:space="preserve">серп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ень 2022 року. У тому числі надійшло власних та закріплених надходжень — 20 824,0 тис. грн., трансфертів — 73 499,5 тис. грн.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76" w:lineRule="auto"/>
        <w:ind w:left="40" w:right="40" w:firstLine="669"/>
        <w:jc w:val="both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Згідно з розписом загального фонду бюджету сільської територіальної громади на січень-</w:t>
      </w:r>
      <w:r w:rsidDel="00000000" w:rsidR="00000000" w:rsidRPr="00000000">
        <w:rPr>
          <w:sz w:val="28"/>
          <w:szCs w:val="28"/>
          <w:rtl w:val="0"/>
        </w:rPr>
        <w:t xml:space="preserve">серп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ень 2022 року (без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урахування трансфертів), виконання загального фонду складає </w:t>
      </w:r>
      <w:r w:rsidDel="00000000" w:rsidR="00000000" w:rsidRPr="00000000">
        <w:rPr>
          <w:sz w:val="28"/>
          <w:szCs w:val="28"/>
          <w:rtl w:val="0"/>
        </w:rPr>
        <w:t xml:space="preserve">98,5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% або надійшло </w:t>
      </w:r>
      <w:r w:rsidDel="00000000" w:rsidR="00000000" w:rsidRPr="00000000">
        <w:rPr>
          <w:sz w:val="28"/>
          <w:szCs w:val="28"/>
          <w:rtl w:val="0"/>
        </w:rPr>
        <w:t xml:space="preserve">20 824,0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тис. грн.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ind w:left="40" w:right="40" w:firstLine="669"/>
        <w:jc w:val="both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Основним джерелом надходжень загального фонду є податок та збір на доходи фізичних осіб, частка якого в загальній сумі надходжень становить 6</w:t>
      </w:r>
      <w:r w:rsidDel="00000000" w:rsidR="00000000" w:rsidRPr="00000000">
        <w:rPr>
          <w:sz w:val="28"/>
          <w:szCs w:val="28"/>
          <w:rtl w:val="0"/>
        </w:rPr>
        <w:t xml:space="preserve">4,1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% і складає </w:t>
      </w:r>
      <w:r w:rsidDel="00000000" w:rsidR="00000000" w:rsidRPr="00000000">
        <w:rPr>
          <w:sz w:val="28"/>
          <w:szCs w:val="28"/>
          <w:rtl w:val="0"/>
        </w:rPr>
        <w:t xml:space="preserve">13 341,8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тис. грн., що становить </w:t>
      </w:r>
      <w:r w:rsidDel="00000000" w:rsidR="00000000" w:rsidRPr="00000000">
        <w:rPr>
          <w:sz w:val="28"/>
          <w:szCs w:val="28"/>
          <w:rtl w:val="0"/>
        </w:rPr>
        <w:t xml:space="preserve">98,69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% виконання плану на відповідний період.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widowControl w:val="0"/>
        <w:tabs>
          <w:tab w:val="left" w:pos="794"/>
        </w:tabs>
        <w:spacing w:line="276" w:lineRule="auto"/>
        <w:ind w:right="4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          По іншим бюджетоутворюючим джерелам загального фонду надійшло за січень-</w:t>
      </w:r>
      <w:r w:rsidDel="00000000" w:rsidR="00000000" w:rsidRPr="00000000">
        <w:rPr>
          <w:sz w:val="28"/>
          <w:szCs w:val="28"/>
          <w:rtl w:val="0"/>
        </w:rPr>
        <w:t xml:space="preserve">серп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ень 2022 року: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 </w:t>
      </w:r>
      <w:r w:rsidDel="00000000" w:rsidR="00000000" w:rsidRPr="00000000">
        <w:rPr>
          <w:sz w:val="28"/>
          <w:szCs w:val="28"/>
          <w:rtl w:val="0"/>
        </w:rPr>
        <w:t xml:space="preserve"> податку на майно – 1 802,4 тис. грн., що становить 73,51 % плану на відповідний період;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 єдиного податку -  3 931,6 тис. грн., що складає 107,07 % до плану на відповідний період;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туристичного збору – 457,0 тис. грн., що складає 132,74 % до плану на відповідний період;</w:t>
      </w:r>
    </w:p>
    <w:p w:rsidR="00000000" w:rsidDel="00000000" w:rsidP="00000000" w:rsidRDefault="00000000" w:rsidRPr="00000000" w14:paraId="0000000A">
      <w:pPr>
        <w:tabs>
          <w:tab w:val="left" w:pos="6420"/>
        </w:tabs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акцизного податку з реалізації суб`єктами господарювання роздрібної торгівлі підакцизних товарів – 546,7 тис. грн., що складає 101,02 % плану на відповідний період.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ind w:hanging="4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ab/>
        <w:t xml:space="preserve">       До спеціального фонду доходів бюджету сільської територіальної громади за січень-</w:t>
      </w:r>
      <w:r w:rsidDel="00000000" w:rsidR="00000000" w:rsidRPr="00000000">
        <w:rPr>
          <w:sz w:val="28"/>
          <w:szCs w:val="28"/>
          <w:rtl w:val="0"/>
        </w:rPr>
        <w:t xml:space="preserve">серп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ень 2022 року надійшло  – </w:t>
      </w:r>
      <w:r w:rsidDel="00000000" w:rsidR="00000000" w:rsidRPr="00000000">
        <w:rPr>
          <w:sz w:val="28"/>
          <w:szCs w:val="28"/>
          <w:rtl w:val="0"/>
        </w:rPr>
        <w:t xml:space="preserve">1 507,3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тис. грн.</w:t>
      </w:r>
    </w:p>
    <w:p w:rsidR="00000000" w:rsidDel="00000000" w:rsidP="00000000" w:rsidRDefault="00000000" w:rsidRPr="00000000" w14:paraId="0000000C">
      <w:pPr>
        <w:tabs>
          <w:tab w:val="left" w:pos="0"/>
          <w:tab w:val="left" w:pos="360"/>
        </w:tabs>
        <w:spacing w:line="276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 власні надходження бюджетних установ – </w:t>
      </w:r>
      <w:r w:rsidDel="00000000" w:rsidR="00000000" w:rsidRPr="00000000">
        <w:rPr>
          <w:sz w:val="28"/>
          <w:szCs w:val="28"/>
          <w:rtl w:val="0"/>
        </w:rPr>
        <w:t xml:space="preserve">1 337,0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тис. грн.</w:t>
      </w:r>
    </w:p>
    <w:p w:rsidR="00000000" w:rsidDel="00000000" w:rsidP="00000000" w:rsidRDefault="00000000" w:rsidRPr="00000000" w14:paraId="0000000D">
      <w:pPr>
        <w:widowControl w:val="0"/>
        <w:tabs>
          <w:tab w:val="left" w:pos="0"/>
        </w:tabs>
        <w:spacing w:line="276" w:lineRule="auto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40"/>
        <w:jc w:val="center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Виконання місцевого бюджету по видатках загального фонду за січень-</w:t>
      </w:r>
      <w:r w:rsidDel="00000000" w:rsidR="00000000" w:rsidRPr="00000000">
        <w:rPr>
          <w:b w:val="1"/>
          <w:sz w:val="28"/>
          <w:szCs w:val="28"/>
          <w:rtl w:val="0"/>
        </w:rPr>
        <w:t xml:space="preserve">серп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ень 2022 року</w:t>
      </w:r>
    </w:p>
    <w:p w:rsidR="00000000" w:rsidDel="00000000" w:rsidP="00000000" w:rsidRDefault="00000000" w:rsidRPr="00000000" w14:paraId="0000000F">
      <w:pPr>
        <w:spacing w:line="276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Бюджет по видатках загального фонду виконаний у сумі 87 988,6 тис. грн., чи на 87,68 % від уточненого плану. </w:t>
      </w:r>
    </w:p>
    <w:p w:rsidR="00000000" w:rsidDel="00000000" w:rsidP="00000000" w:rsidRDefault="00000000" w:rsidRPr="00000000" w14:paraId="00000010">
      <w:pPr>
        <w:spacing w:line="276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 першу чергу фінансувалися такі  галузі:</w:t>
      </w:r>
    </w:p>
    <w:p w:rsidR="00000000" w:rsidDel="00000000" w:rsidP="00000000" w:rsidRDefault="00000000" w:rsidRPr="00000000" w14:paraId="00000011">
      <w:pPr>
        <w:spacing w:line="276" w:lineRule="auto"/>
        <w:ind w:hanging="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освіта  -  70 780,6 тис. грн., чи 87,93 %  виконання за відповідний період;</w:t>
      </w:r>
    </w:p>
    <w:p w:rsidR="00000000" w:rsidDel="00000000" w:rsidP="00000000" w:rsidRDefault="00000000" w:rsidRPr="00000000" w14:paraId="00000012">
      <w:pPr>
        <w:spacing w:line="276" w:lineRule="auto"/>
        <w:ind w:hanging="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соціальний захист та охорона здоров'я – 3 538,6 тис. грн., чи 92,29 % виконання за відповідний період;</w:t>
      </w:r>
    </w:p>
    <w:p w:rsidR="00000000" w:rsidDel="00000000" w:rsidP="00000000" w:rsidRDefault="00000000" w:rsidRPr="00000000" w14:paraId="00000013">
      <w:pPr>
        <w:spacing w:line="276" w:lineRule="auto"/>
        <w:ind w:hanging="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культура та туризм  - 3 677,8 тис. грн., чи 83,85 % виконання за відповідний період;</w:t>
      </w:r>
    </w:p>
    <w:p w:rsidR="00000000" w:rsidDel="00000000" w:rsidP="00000000" w:rsidRDefault="00000000" w:rsidRPr="00000000" w14:paraId="00000014">
      <w:pPr>
        <w:spacing w:line="276" w:lineRule="auto"/>
        <w:ind w:hanging="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управління  - 9 585,8 тис. грн., чи 86,24 % виконання за відповідний період;</w:t>
      </w:r>
    </w:p>
    <w:p w:rsidR="00000000" w:rsidDel="00000000" w:rsidP="00000000" w:rsidRDefault="00000000" w:rsidRPr="00000000" w14:paraId="00000015">
      <w:pPr>
        <w:spacing w:line="276" w:lineRule="auto"/>
        <w:ind w:hanging="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інші галузі – 404,9 тис. грн., або 87,26 % виконання за відповідний період.</w:t>
      </w:r>
    </w:p>
    <w:p w:rsidR="00000000" w:rsidDel="00000000" w:rsidP="00000000" w:rsidRDefault="00000000" w:rsidRPr="00000000" w14:paraId="00000016">
      <w:pPr>
        <w:spacing w:line="276" w:lineRule="auto"/>
        <w:ind w:hanging="4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Пріоритетними статтями у фінансуванні залишаються:</w:t>
      </w:r>
    </w:p>
    <w:p w:rsidR="00000000" w:rsidDel="00000000" w:rsidP="00000000" w:rsidRDefault="00000000" w:rsidRPr="00000000" w14:paraId="00000018">
      <w:pPr>
        <w:spacing w:line="276" w:lineRule="auto"/>
        <w:ind w:hanging="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заробітна плата з нарахуваннями  виконання становить 82 120,9 тис. грн., що складає 93,3 % від загального виконання місцевого бюджету;</w:t>
      </w:r>
    </w:p>
    <w:p w:rsidR="00000000" w:rsidDel="00000000" w:rsidP="00000000" w:rsidRDefault="00000000" w:rsidRPr="00000000" w14:paraId="00000019">
      <w:pPr>
        <w:spacing w:line="276" w:lineRule="auto"/>
        <w:ind w:hanging="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медикаменти та перев’язувальні матеріали – 48,2 тис. грн. чи 0,05 % від загального виконання;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продукти харчування  - 255,3 тис. грн., чи 0,3 % від загального виконання;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енергоносії  -  2 575,3 тис. грн., чи 2,9 % від загального виконання;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інші виплати населенню – 282,4 тис. грн. чи 0,3 % від загального виконання.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" w:right="-2" w:firstLine="66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цілому бюджет Тур’є-Реметівської сільської територіальної громади  збалансований.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" w:right="-2" w:firstLine="66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" w:right="-2" w:firstLine="66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Міжбюджетні трансферти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" w:right="-2" w:firstLine="66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2022 році бюджет Тур’є-Реметівської сільської територіальної громади отримує міжбюджетні трансферти з інших бюджетів, так заплановано отримати кошти у сумі </w:t>
      </w:r>
      <w:r w:rsidDel="00000000" w:rsidR="00000000" w:rsidRPr="00000000">
        <w:rPr>
          <w:sz w:val="28"/>
          <w:szCs w:val="28"/>
          <w:rtl w:val="0"/>
        </w:rPr>
        <w:t xml:space="preserve">106 482,3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тис. грн., станом на 3</w:t>
      </w:r>
      <w:r w:rsidDel="00000000" w:rsidR="00000000" w:rsidRPr="00000000">
        <w:rPr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.2022  фактично отримано </w:t>
      </w:r>
      <w:r w:rsidDel="00000000" w:rsidR="00000000" w:rsidRPr="00000000">
        <w:rPr>
          <w:sz w:val="28"/>
          <w:szCs w:val="28"/>
          <w:rtl w:val="0"/>
        </w:rPr>
        <w:t xml:space="preserve">73 499,5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тис. грн., а саме: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sz w:val="28"/>
          <w:szCs w:val="28"/>
          <w:rtl w:val="0"/>
        </w:rPr>
        <w:t xml:space="preserve">52 207,2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тис. грн. – освітньої субвенції;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sz w:val="28"/>
          <w:szCs w:val="28"/>
          <w:rtl w:val="0"/>
        </w:rPr>
        <w:t xml:space="preserve">19 191,2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тис. грн. - базова дотація;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827,2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тис. грн. - дотація з місцевого бюджету на здійснення переданих з державного бюджету видатків з утримання закладів освіти та охорони здоров'я за рахунок відповідної додаткової дотації.;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121,0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тис. грн. - 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650,1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тис. грн. субвенція з місцевого бюджету на здійснення переданих видатків у сфері освіти за рахунок коштів освітньої субвенції;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298,2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тис. грн. - дотація з місцевого бюджету на проведення розрахунків протягом опалювального періоду за комунальні послуги та енергоносії, які споживаються установами, організаціями, підприємствами, що утримуються за рахунок відповідних місцевих бюджетів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7">
      <w:pPr>
        <w:widowControl w:val="0"/>
        <w:spacing w:line="276" w:lineRule="auto"/>
        <w:ind w:left="40" w:right="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- 204,6 тис. грн. - інші дотації з місцевого бюджету  (за рахунок додаткової дотації з державного бюджету місцевим бюджетам для надання компенсації закладам комунальної форми власності, що передані на фінансування з місцевих бюджетів, закладам спільної власності територіальних громад області, що перебувають в управлінні обласних рад).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13"/>
          <w:tab w:val="left" w:pos="3442"/>
          <w:tab w:val="left" w:pos="3859"/>
        </w:tabs>
        <w:spacing w:after="59" w:before="0" w:line="276" w:lineRule="auto"/>
        <w:ind w:left="0" w:right="-2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13"/>
          <w:tab w:val="left" w:pos="3442"/>
          <w:tab w:val="left" w:pos="3859"/>
        </w:tabs>
        <w:spacing w:after="59" w:before="0" w:line="276" w:lineRule="auto"/>
        <w:ind w:left="40" w:right="-2" w:firstLine="66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Спеціальний фонд (бюджет розвитку)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" w:right="-2" w:firstLine="66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січень-</w:t>
      </w:r>
      <w:r w:rsidDel="00000000" w:rsidR="00000000" w:rsidRPr="00000000">
        <w:rPr>
          <w:sz w:val="28"/>
          <w:szCs w:val="28"/>
          <w:rtl w:val="0"/>
        </w:rPr>
        <w:t xml:space="preserve">серп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ень 2022 року з бюджету розвитку видатки не проводились.</w:t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425.1968503937008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73D00"/>
    <w:rPr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 w:customStyle="1">
    <w:name w:val="Основной текст Знак"/>
    <w:link w:val="a4"/>
    <w:rsid w:val="001446C2"/>
    <w:rPr>
      <w:spacing w:val="1"/>
      <w:sz w:val="21"/>
      <w:szCs w:val="21"/>
      <w:lang w:bidi="ar-SA"/>
    </w:rPr>
  </w:style>
  <w:style w:type="paragraph" w:styleId="a4">
    <w:name w:val="Body Text"/>
    <w:basedOn w:val="a"/>
    <w:link w:val="a3"/>
    <w:rsid w:val="001446C2"/>
    <w:pPr>
      <w:widowControl w:val="0"/>
      <w:shd w:color="auto" w:fill="ffffff" w:val="clear"/>
      <w:spacing w:after="240" w:line="274" w:lineRule="exact"/>
      <w:jc w:val="center"/>
    </w:pPr>
    <w:rPr>
      <w:spacing w:val="1"/>
      <w:sz w:val="21"/>
      <w:szCs w:val="21"/>
    </w:rPr>
  </w:style>
  <w:style w:type="character" w:styleId="2" w:customStyle="1">
    <w:name w:val="Основной текст (2)_"/>
    <w:link w:val="21"/>
    <w:rsid w:val="001446C2"/>
    <w:rPr>
      <w:b w:val="1"/>
      <w:bCs w:val="1"/>
      <w:i w:val="1"/>
      <w:iCs w:val="1"/>
      <w:sz w:val="21"/>
      <w:szCs w:val="21"/>
      <w:lang w:bidi="ar-SA"/>
    </w:rPr>
  </w:style>
  <w:style w:type="character" w:styleId="20" w:customStyle="1">
    <w:name w:val="Основной текст (2)"/>
    <w:basedOn w:val="2"/>
    <w:rsid w:val="001446C2"/>
    <w:rPr>
      <w:b w:val="1"/>
      <w:bCs w:val="1"/>
      <w:i w:val="1"/>
      <w:iCs w:val="1"/>
      <w:sz w:val="21"/>
      <w:szCs w:val="21"/>
      <w:lang w:bidi="ar-SA"/>
    </w:rPr>
  </w:style>
  <w:style w:type="character" w:styleId="22" w:customStyle="1">
    <w:name w:val="Основной текст (2) + Не полужирный"/>
    <w:aliases w:val="Не курсив,Интервал 0 pt"/>
    <w:rsid w:val="001446C2"/>
    <w:rPr>
      <w:b w:val="1"/>
      <w:bCs w:val="1"/>
      <w:i w:val="1"/>
      <w:iCs w:val="1"/>
      <w:spacing w:val="1"/>
      <w:sz w:val="21"/>
      <w:szCs w:val="21"/>
      <w:lang w:bidi="ar-SA"/>
    </w:rPr>
  </w:style>
  <w:style w:type="paragraph" w:styleId="21" w:customStyle="1">
    <w:name w:val="Основной текст (2)1"/>
    <w:basedOn w:val="a"/>
    <w:link w:val="2"/>
    <w:rsid w:val="001446C2"/>
    <w:pPr>
      <w:widowControl w:val="0"/>
      <w:shd w:color="auto" w:fill="ffffff" w:val="clear"/>
      <w:spacing w:after="240" w:before="240" w:line="274" w:lineRule="exact"/>
      <w:jc w:val="center"/>
    </w:pPr>
    <w:rPr>
      <w:b w:val="1"/>
      <w:bCs w:val="1"/>
      <w:i w:val="1"/>
      <w:iCs w:val="1"/>
      <w:sz w:val="21"/>
      <w:szCs w:val="21"/>
    </w:rPr>
  </w:style>
  <w:style w:type="character" w:styleId="3" w:customStyle="1">
    <w:name w:val="Основной текст (3)_"/>
    <w:link w:val="31"/>
    <w:rsid w:val="001446C2"/>
    <w:rPr>
      <w:rFonts w:ascii="Microsoft Sans Serif" w:hAnsi="Microsoft Sans Serif"/>
      <w:noProof w:val="1"/>
      <w:sz w:val="82"/>
      <w:szCs w:val="82"/>
      <w:lang w:bidi="ar-SA"/>
    </w:rPr>
  </w:style>
  <w:style w:type="character" w:styleId="30" w:customStyle="1">
    <w:name w:val="Основной текст (3)"/>
    <w:basedOn w:val="3"/>
    <w:rsid w:val="001446C2"/>
    <w:rPr>
      <w:rFonts w:ascii="Microsoft Sans Serif" w:hAnsi="Microsoft Sans Serif"/>
      <w:noProof w:val="1"/>
      <w:sz w:val="82"/>
      <w:szCs w:val="82"/>
      <w:lang w:bidi="ar-SA"/>
    </w:rPr>
  </w:style>
  <w:style w:type="character" w:styleId="a5" w:customStyle="1">
    <w:name w:val="Основной текст + Полужирный"/>
    <w:aliases w:val="Курсив,Интервал 0 pt3"/>
    <w:rsid w:val="001446C2"/>
    <w:rPr>
      <w:rFonts w:ascii="Times New Roman" w:cs="Times New Roman" w:hAnsi="Times New Roman"/>
      <w:b w:val="1"/>
      <w:bCs w:val="1"/>
      <w:i w:val="1"/>
      <w:iCs w:val="1"/>
      <w:spacing w:val="1"/>
      <w:sz w:val="21"/>
      <w:szCs w:val="21"/>
      <w:u w:val="none"/>
      <w:lang w:bidi="ar-SA"/>
    </w:rPr>
  </w:style>
  <w:style w:type="character" w:styleId="1" w:customStyle="1">
    <w:name w:val="Основной текст + Полужирный1"/>
    <w:aliases w:val="Курсив2,Интервал 0 pt2"/>
    <w:rsid w:val="001446C2"/>
    <w:rPr>
      <w:rFonts w:ascii="Times New Roman" w:cs="Times New Roman" w:hAnsi="Times New Roman"/>
      <w:b w:val="1"/>
      <w:bCs w:val="1"/>
      <w:i w:val="1"/>
      <w:iCs w:val="1"/>
      <w:spacing w:val="1"/>
      <w:sz w:val="21"/>
      <w:szCs w:val="21"/>
      <w:u w:val="none"/>
      <w:lang w:bidi="ar-SA"/>
    </w:rPr>
  </w:style>
  <w:style w:type="character" w:styleId="0pt" w:customStyle="1">
    <w:name w:val="Основной текст + Интервал 0 pt"/>
    <w:rsid w:val="001446C2"/>
    <w:rPr>
      <w:rFonts w:ascii="Times New Roman" w:cs="Times New Roman" w:hAnsi="Times New Roman"/>
      <w:spacing w:val="4"/>
      <w:sz w:val="21"/>
      <w:szCs w:val="21"/>
      <w:u w:val="none"/>
      <w:lang w:bidi="ar-SA"/>
    </w:rPr>
  </w:style>
  <w:style w:type="paragraph" w:styleId="31" w:customStyle="1">
    <w:name w:val="Основной текст (3)1"/>
    <w:basedOn w:val="a"/>
    <w:link w:val="3"/>
    <w:rsid w:val="001446C2"/>
    <w:pPr>
      <w:widowControl w:val="0"/>
      <w:shd w:color="auto" w:fill="ffffff" w:val="clear"/>
      <w:spacing w:after="300" w:line="240" w:lineRule="atLeast"/>
      <w:jc w:val="right"/>
    </w:pPr>
    <w:rPr>
      <w:rFonts w:ascii="Microsoft Sans Serif" w:hAnsi="Microsoft Sans Serif"/>
      <w:noProof w:val="1"/>
      <w:sz w:val="82"/>
      <w:szCs w:val="82"/>
    </w:rPr>
  </w:style>
  <w:style w:type="character" w:styleId="220" w:customStyle="1">
    <w:name w:val="Основной текст (2)2"/>
    <w:rsid w:val="001446C2"/>
    <w:rPr>
      <w:rFonts w:ascii="Times New Roman" w:cs="Times New Roman" w:hAnsi="Times New Roman"/>
      <w:b w:val="0"/>
      <w:bCs w:val="0"/>
      <w:i w:val="0"/>
      <w:iCs w:val="0"/>
      <w:sz w:val="21"/>
      <w:szCs w:val="21"/>
      <w:u w:val="none"/>
      <w:lang w:bidi="ar-SA"/>
    </w:rPr>
  </w:style>
  <w:style w:type="character" w:styleId="17pt" w:customStyle="1">
    <w:name w:val="Основной текст + 17 pt"/>
    <w:aliases w:val="Интервал -2 pt"/>
    <w:rsid w:val="001446C2"/>
    <w:rPr>
      <w:spacing w:val="-52"/>
      <w:sz w:val="34"/>
      <w:szCs w:val="34"/>
      <w:lang w:bidi="ar-SA"/>
    </w:rPr>
  </w:style>
  <w:style w:type="character" w:styleId="4" w:customStyle="1">
    <w:name w:val="Основной текст (4)_"/>
    <w:link w:val="41"/>
    <w:rsid w:val="001446C2"/>
    <w:rPr>
      <w:rFonts w:ascii="Tahoma" w:hAnsi="Tahoma"/>
      <w:spacing w:val="-42"/>
      <w:sz w:val="38"/>
      <w:szCs w:val="38"/>
      <w:lang w:bidi="ar-SA"/>
    </w:rPr>
  </w:style>
  <w:style w:type="character" w:styleId="40" w:customStyle="1">
    <w:name w:val="Основной текст (4)"/>
    <w:basedOn w:val="4"/>
    <w:rsid w:val="001446C2"/>
    <w:rPr>
      <w:rFonts w:ascii="Tahoma" w:hAnsi="Tahoma"/>
      <w:spacing w:val="-42"/>
      <w:sz w:val="38"/>
      <w:szCs w:val="38"/>
      <w:lang w:bidi="ar-SA"/>
    </w:rPr>
  </w:style>
  <w:style w:type="character" w:styleId="4TimesNewRoman" w:customStyle="1">
    <w:name w:val="Основной текст (4) + Times New Roman"/>
    <w:aliases w:val="21 pt,Курсив1,Интервал -1 pt"/>
    <w:rsid w:val="001446C2"/>
    <w:rPr>
      <w:rFonts w:ascii="Times New Roman" w:cs="Times New Roman" w:hAnsi="Times New Roman"/>
      <w:i w:val="1"/>
      <w:iCs w:val="1"/>
      <w:spacing w:val="-20"/>
      <w:sz w:val="42"/>
      <w:szCs w:val="42"/>
      <w:lang w:bidi="ar-SA"/>
    </w:rPr>
  </w:style>
  <w:style w:type="character" w:styleId="Impact" w:customStyle="1">
    <w:name w:val="Основной текст + Impact"/>
    <w:aliases w:val="12,5 pt,Интервал 0 pt1"/>
    <w:rsid w:val="001446C2"/>
    <w:rPr>
      <w:rFonts w:ascii="Impact" w:cs="Impact" w:hAnsi="Impact"/>
      <w:noProof w:val="1"/>
      <w:spacing w:val="0"/>
      <w:sz w:val="25"/>
      <w:szCs w:val="25"/>
      <w:lang w:bidi="ar-SA"/>
    </w:rPr>
  </w:style>
  <w:style w:type="paragraph" w:styleId="41" w:customStyle="1">
    <w:name w:val="Основной текст (4)1"/>
    <w:basedOn w:val="a"/>
    <w:link w:val="4"/>
    <w:rsid w:val="001446C2"/>
    <w:pPr>
      <w:widowControl w:val="0"/>
      <w:shd w:color="auto" w:fill="ffffff" w:val="clear"/>
      <w:spacing w:before="60" w:line="240" w:lineRule="atLeast"/>
    </w:pPr>
    <w:rPr>
      <w:rFonts w:ascii="Tahoma" w:hAnsi="Tahoma"/>
      <w:spacing w:val="-42"/>
      <w:sz w:val="38"/>
      <w:szCs w:val="38"/>
    </w:rPr>
  </w:style>
  <w:style w:type="table" w:styleId="a6">
    <w:name w:val="Table Grid"/>
    <w:basedOn w:val="a1"/>
    <w:rsid w:val="00FE4DC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7">
    <w:name w:val="Balloon Text"/>
    <w:basedOn w:val="a"/>
    <w:link w:val="a8"/>
    <w:rsid w:val="00CA699A"/>
    <w:rPr>
      <w:rFonts w:ascii="Tahoma" w:hAnsi="Tahoma"/>
      <w:sz w:val="16"/>
      <w:szCs w:val="16"/>
    </w:rPr>
  </w:style>
  <w:style w:type="character" w:styleId="a8" w:customStyle="1">
    <w:name w:val="Текст выноски Знак"/>
    <w:link w:val="a7"/>
    <w:rsid w:val="00CA699A"/>
    <w:rPr>
      <w:rFonts w:ascii="Tahoma" w:cs="Tahoma" w:hAnsi="Tahoma"/>
      <w:sz w:val="16"/>
      <w:szCs w:val="16"/>
    </w:rPr>
  </w:style>
  <w:style w:type="character" w:styleId="rvts0" w:customStyle="1">
    <w:name w:val="rvts0"/>
    <w:rsid w:val="005779F5"/>
  </w:style>
  <w:style w:type="paragraph" w:styleId="a9">
    <w:name w:val="header"/>
    <w:basedOn w:val="a"/>
    <w:link w:val="aa"/>
    <w:uiPriority w:val="99"/>
    <w:rsid w:val="00CE4D6B"/>
    <w:pPr>
      <w:tabs>
        <w:tab w:val="center" w:pos="4677"/>
        <w:tab w:val="right" w:pos="9355"/>
      </w:tabs>
    </w:pPr>
  </w:style>
  <w:style w:type="character" w:styleId="aa" w:customStyle="1">
    <w:name w:val="Верхний колонтитул Знак"/>
    <w:link w:val="a9"/>
    <w:uiPriority w:val="99"/>
    <w:rsid w:val="00CE4D6B"/>
    <w:rPr>
      <w:sz w:val="24"/>
      <w:szCs w:val="24"/>
    </w:rPr>
  </w:style>
  <w:style w:type="paragraph" w:styleId="ab">
    <w:name w:val="List Paragraph"/>
    <w:basedOn w:val="a"/>
    <w:uiPriority w:val="34"/>
    <w:qFormat w:val="1"/>
    <w:rsid w:val="00AE31D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C0vhVci902EC8thbcDwZuYaEBQ==">AMUW2mV2XkMKdSX2W9EIV8irnrG5uAejqn2Lj+xLKCHlQwKxjJfL0eLln7uWVpsFFkgFjSpUG9u2hJX5nbm7F8sk3dw6Z9ykVwQRGZLwVPtdDij8kVaMmMB3/ojo4FOXR6xkZXgdpp+O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2021-04-20T21:06:00Z</dcterms:created>
  <dc:creator>User</dc:creator>
</cp:coreProperties>
</file>